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i w:val="0"/>
          <w:color w:val="000000"/>
          <w:sz w:val="24"/>
        </w:rPr>
        <w:t>IN THE [HIGH COURT / COUNTY COURT / CROWN COURT]</w:t>
      </w:r>
    </w:p>
    <w:p>
      <w:pPr>
        <w:spacing w:after="280"/>
        <w:jc w:val="right"/>
      </w:pPr>
      <w:r>
        <w:rPr>
          <w:rFonts w:ascii="Arial" w:hAnsi="Arial"/>
          <w:b/>
          <w:i w:val="0"/>
          <w:color w:val="000000"/>
          <w:sz w:val="22"/>
        </w:rPr>
        <w:t>Claim/Case No: [XXXX]</w:t>
      </w:r>
    </w:p>
    <w:p>
      <w:pPr>
        <w:spacing w:after="40"/>
        <w:jc w:val="center"/>
      </w:pPr>
      <w:r>
        <w:rPr>
          <w:rFonts w:ascii="Arial" w:hAnsi="Arial"/>
          <w:b/>
          <w:i w:val="0"/>
          <w:color w:val="000000"/>
          <w:sz w:val="22"/>
        </w:rPr>
        <w:t>[PARTY A]</w:t>
      </w:r>
    </w:p>
    <w:p>
      <w:pPr>
        <w:spacing w:after="40"/>
        <w:jc w:val="center"/>
      </w:pPr>
      <w:r>
        <w:rPr>
          <w:rFonts w:ascii="Arial" w:hAnsi="Arial"/>
          <w:b w:val="0"/>
          <w:i w:val="0"/>
          <w:color w:val="000000"/>
          <w:sz w:val="22"/>
        </w:rPr>
        <w:t>and</w:t>
      </w:r>
    </w:p>
    <w:p>
      <w:pPr>
        <w:spacing w:after="40"/>
        <w:jc w:val="center"/>
      </w:pPr>
      <w:r>
        <w:rPr>
          <w:rFonts w:ascii="Arial" w:hAnsi="Arial"/>
          <w:b/>
          <w:i w:val="0"/>
          <w:color w:val="000000"/>
          <w:sz w:val="22"/>
        </w:rPr>
        <w:t>[PARTY B]</w:t>
      </w:r>
    </w:p>
    <w:p>
      <w:pPr>
        <w:spacing w:before="320" w:after="240"/>
        <w:jc w:val="center"/>
        <w:keepNext/>
      </w:pPr>
      <w:r>
        <w:rPr>
          <w:rFonts w:ascii="Arial" w:hAnsi="Arial"/>
          <w:b/>
          <w:i w:val="0"/>
          <w:color w:val="000000"/>
          <w:sz w:val="28"/>
        </w:rPr>
        <w:t>ANALYTICAL FINDING - DS-20260903-S19 / S19-F001-S19-F003</w:t>
      </w:r>
    </w:p>
    <w:p>
      <w:pPr>
        <w:spacing w:before="0" w:after="140" w:line="259" w:lineRule="auto"/>
        <w:keepLines/>
      </w:pPr>
      <w:r>
        <w:rPr>
          <w:rFonts w:ascii="Arial" w:hAnsi="Arial"/>
          <w:b/>
          <w:i w:val="0"/>
          <w:color w:val="000000"/>
          <w:sz w:val="22"/>
        </w:rPr>
        <w:t xml:space="preserve">Issue: </w:t>
      </w:r>
      <w:r>
        <w:rPr>
          <w:rFonts w:ascii="Arial" w:hAnsi="Arial"/>
          <w:b w:val="0"/>
          <w:i w:val="0"/>
          <w:color w:val="000000"/>
          <w:sz w:val="22"/>
        </w:rPr>
        <w:t>Whether the available documents support the proposition that John Dudmesh was an Enron contractor performing a technical function, and whether the limited evidence warrants proportionate further investigation.</w:t>
      </w:r>
    </w:p>
    <w:p>
      <w:pPr>
        <w:spacing w:before="0" w:after="140" w:line="259" w:lineRule="auto"/>
        <w:keepLines/>
      </w:pPr>
      <w:r>
        <w:rPr>
          <w:rFonts w:ascii="Arial" w:hAnsi="Arial"/>
          <w:b/>
          <w:i w:val="0"/>
          <w:color w:val="000000"/>
          <w:sz w:val="22"/>
        </w:rPr>
        <w:t xml:space="preserve">Finding: </w:t>
      </w:r>
      <w:r>
        <w:rPr>
          <w:rFonts w:ascii="Arial" w:hAnsi="Arial"/>
          <w:b w:val="0"/>
          <w:i w:val="0"/>
          <w:color w:val="000000"/>
          <w:sz w:val="22"/>
        </w:rPr>
        <w:t>The available evidence supports the limited proposition that John Dudmesh was recorded in an Enron personnel listing as an agency contractor associated with EEL-IT Front Office and participated in a June 2001 technical exchange concerning StackManagerServer and EOL changes. The material examined does not by itself establish involvement in wrongdoing. It does not presently establish that Dudmesh performed email-system migration work.</w:t>
      </w:r>
    </w:p>
    <w:p>
      <w:pPr>
        <w:spacing w:before="80" w:after="100"/>
        <w:keepNext/>
      </w:pPr>
      <w:r>
        <w:rPr>
          <w:rFonts w:ascii="Arial" w:hAnsi="Arial"/>
          <w:b/>
          <w:i w:val="0"/>
          <w:color w:val="000000"/>
          <w:sz w:val="22"/>
        </w:rPr>
        <w:t>Evidential basis:</w:t>
      </w:r>
    </w:p>
    <w:p>
      <w:pPr>
        <w:pStyle w:val="ListNumber"/>
        <w:spacing w:after="100" w:line="259" w:lineRule="auto"/>
        <w:ind w:left="425" w:hanging="283"/>
        <w:keepLines/>
      </w:pPr>
      <w:r>
        <w:rPr>
          <w:rFonts w:ascii="Arial" w:hAnsi="Arial"/>
          <w:b w:val="0"/>
          <w:i w:val="0"/>
          <w:color w:val="000000"/>
          <w:sz w:val="22"/>
        </w:rPr>
        <w:t>Personnel listing containing 'John Dudmesh - 92013', code 100403, 'EEL-IT Front Office', 'Agency Contractor', 'F/T Temp', and a Brian Hudson field - Bundle p. [TO BE ASSIGNED].</w:t>
      </w:r>
    </w:p>
    <w:p>
      <w:pPr>
        <w:pStyle w:val="ListNumber"/>
        <w:spacing w:after="100" w:line="259" w:lineRule="auto"/>
        <w:ind w:left="425" w:hanging="283"/>
        <w:keepLines/>
      </w:pPr>
      <w:r>
        <w:rPr>
          <w:rFonts w:ascii="Arial" w:hAnsi="Arial"/>
          <w:b w:val="0"/>
          <w:i w:val="0"/>
          <w:color w:val="000000"/>
          <w:sz w:val="22"/>
        </w:rPr>
        <w:t>Native email dated 5 June 2001, subject 'RE: EOL Changes', from Michael Guadarrama to John Dudmesh concerning StackManagerServer changes - Bundle p. [TO BE ASSIGNED].</w:t>
      </w:r>
    </w:p>
    <w:p>
      <w:pPr>
        <w:pStyle w:val="ListNumber"/>
        <w:spacing w:after="100" w:line="259" w:lineRule="auto"/>
        <w:ind w:left="425" w:hanging="283"/>
        <w:keepLines/>
      </w:pPr>
      <w:r>
        <w:rPr>
          <w:rFonts w:ascii="Arial" w:hAnsi="Arial"/>
          <w:b w:val="0"/>
          <w:i w:val="0"/>
          <w:color w:val="000000"/>
          <w:sz w:val="22"/>
        </w:rPr>
        <w:t>Session 19 corpus-search report and evidential scorecard, including provenance, duplicate classification, integrity verification, and limitations - Bundle p. [TO BE ASSIGNED].</w:t>
      </w:r>
    </w:p>
    <w:p>
      <w:pPr>
        <w:spacing w:before="0" w:after="140" w:line="259" w:lineRule="auto"/>
        <w:keepLines/>
      </w:pPr>
      <w:r>
        <w:rPr>
          <w:rFonts w:ascii="Arial" w:hAnsi="Arial"/>
          <w:b/>
          <w:i w:val="0"/>
          <w:color w:val="000000"/>
          <w:sz w:val="22"/>
        </w:rPr>
        <w:t xml:space="preserve">Analysis undertaken: </w:t>
      </w:r>
      <w:r>
        <w:rPr>
          <w:rFonts w:ascii="Arial" w:hAnsi="Arial"/>
          <w:b w:val="0"/>
          <w:i w:val="0"/>
          <w:color w:val="000000"/>
          <w:sz w:val="22"/>
        </w:rPr>
        <w:t>The accepted v2 corpus was searched read-only for the literal surname token 'Dudmesh'. The search completed 159 of 159 ZIP archives, 3,441,507 file members and 179,575,044,005 decompressed bytes with no read errors. Ten token-bearing members were examined against their originating archive members. Duplicate native files and alternate text/XML representations were identified by provenance and hash comparison. The results resolve into two substantive logical records and one encoded-data false positive.</w:t>
      </w:r>
    </w:p>
    <w:p>
      <w:pPr>
        <w:spacing w:before="0" w:after="140" w:line="259" w:lineRule="auto"/>
        <w:keepLines/>
      </w:pPr>
      <w:r>
        <w:rPr>
          <w:rFonts w:ascii="Arial" w:hAnsi="Arial"/>
          <w:b/>
          <w:i w:val="0"/>
          <w:color w:val="000000"/>
          <w:sz w:val="22"/>
        </w:rPr>
        <w:t xml:space="preserve">Material observation: </w:t>
      </w:r>
      <w:r>
        <w:rPr>
          <w:rFonts w:ascii="Arial" w:hAnsi="Arial"/>
          <w:b w:val="0"/>
          <w:i w:val="0"/>
          <w:color w:val="000000"/>
          <w:sz w:val="22"/>
        </w:rPr>
        <w:t>The personnel listing associates John Dudmesh with EEL-IT Front Office in an agency-contractor/full-time-temporary classification. The email records him requesting information about proposed StackManager changes and receiving a response about incompatibility of an older StackManagerServer version with a forthcoming release.</w:t>
      </w:r>
    </w:p>
    <w:p>
      <w:pPr>
        <w:spacing w:before="0" w:after="140" w:line="259" w:lineRule="auto"/>
        <w:keepLines/>
      </w:pPr>
      <w:r>
        <w:rPr>
          <w:rFonts w:ascii="Arial" w:hAnsi="Arial"/>
          <w:b/>
          <w:i w:val="0"/>
          <w:color w:val="000000"/>
          <w:sz w:val="22"/>
        </w:rPr>
        <w:t xml:space="preserve">Inference / interpretation: </w:t>
      </w:r>
      <w:r>
        <w:rPr>
          <w:rFonts w:ascii="Arial" w:hAnsi="Arial"/>
          <w:b w:val="0"/>
          <w:i w:val="0"/>
          <w:color w:val="000000"/>
          <w:sz w:val="22"/>
        </w:rPr>
        <w:t>Taken together, the records support a limited inference that Dudmesh performed or supported a legitimate technical function connected with Enron systems. They justify treating him as a potentially useful factual witness for identity, role, system context and chronology. They do not establish his precise contractual duties, decision-making authority, implementation responsibility or involvement in wrongdoing.</w:t>
      </w:r>
    </w:p>
    <w:p>
      <w:pPr>
        <w:spacing w:before="0" w:after="140" w:line="259" w:lineRule="auto"/>
        <w:keepLines/>
      </w:pPr>
      <w:r>
        <w:rPr>
          <w:rFonts w:ascii="Arial" w:hAnsi="Arial"/>
          <w:b/>
          <w:i w:val="0"/>
          <w:color w:val="000000"/>
          <w:sz w:val="22"/>
        </w:rPr>
        <w:t xml:space="preserve">Contrary or qualifying evidence: </w:t>
      </w:r>
      <w:r>
        <w:rPr>
          <w:rFonts w:ascii="Arial" w:hAnsi="Arial"/>
          <w:b w:val="0"/>
          <w:i w:val="0"/>
          <w:color w:val="000000"/>
          <w:sz w:val="22"/>
        </w:rPr>
        <w:t>No material indicating wrongdoing was identified within the defined literal-name search scope. Three personnel-list XLS hits are byte-identical copies and are not independent attestations. The email's text and XML versions are alternate representations of one exchange. One additional token hit was a coincidence within encoded data and was excluded. The unavailable smaller corpus has not been compared.</w:t>
      </w:r>
    </w:p>
    <w:p>
      <w:pPr>
        <w:spacing w:before="0" w:after="140" w:line="259" w:lineRule="auto"/>
        <w:keepLines/>
      </w:pPr>
      <w:r>
        <w:rPr>
          <w:rFonts w:ascii="Arial" w:hAnsi="Arial"/>
          <w:b/>
          <w:i w:val="0"/>
          <w:color w:val="000000"/>
          <w:sz w:val="22"/>
        </w:rPr>
        <w:t xml:space="preserve">Limitations: </w:t>
      </w:r>
      <w:r>
        <w:rPr>
          <w:rFonts w:ascii="Arial" w:hAnsi="Arial"/>
          <w:b w:val="0"/>
          <w:i w:val="0"/>
          <w:color w:val="000000"/>
          <w:sz w:val="22"/>
        </w:rPr>
        <w:t>The finding is limited to the accepted corpus and the literal ASCII-token search undertaken. It does not establish that the surviving corpus is historically or semantically complete and does not cover OCR-only text, alternative encodings, misspellings or unnamed references. Absence of a communication is not treated as evidence that the communication or event did not occur. Current-copy integrity does not cure unresolved pre-receipt provenance limitations. The Human Operator reports having spoken with John Dudmesh and believes he would confirm the result, but no dated statement or interview note from Dudmesh has been preserved.</w:t>
      </w:r>
    </w:p>
    <w:p>
      <w:pPr>
        <w:spacing w:before="80" w:after="80"/>
        <w:keepNext/>
      </w:pPr>
      <w:r>
        <w:rPr>
          <w:rFonts w:ascii="Arial" w:hAnsi="Arial"/>
          <w:b/>
          <w:i w:val="0"/>
          <w:color w:val="000000"/>
          <w:sz w:val="22"/>
        </w:rPr>
        <w:t>Investigative disposition:</w:t>
      </w:r>
    </w:p>
    <w:p>
      <w:pPr>
        <w:spacing w:after="40"/>
        <w:ind w:left="283"/>
        <w:keepLines/>
      </w:pPr>
      <w:r>
        <w:rPr>
          <w:rFonts w:ascii="Arial" w:hAnsi="Arial"/>
          <w:b w:val="0"/>
          <w:i w:val="0"/>
          <w:color w:val="000000"/>
          <w:sz w:val="22"/>
        </w:rPr>
        <w:t>[X] Further investigation required - limited to proportionate corroboration and independent assurance</w:t>
      </w:r>
    </w:p>
    <w:p>
      <w:pPr>
        <w:spacing w:after="40"/>
        <w:ind w:left="283"/>
        <w:keepLines/>
      </w:pPr>
      <w:r>
        <w:rPr>
          <w:rFonts w:ascii="Arial" w:hAnsi="Arial"/>
          <w:b w:val="0"/>
          <w:i w:val="0"/>
          <w:color w:val="000000"/>
          <w:sz w:val="22"/>
        </w:rPr>
        <w:t>[ ] Retain as person of potential relevance</w:t>
      </w:r>
    </w:p>
    <w:p>
      <w:pPr>
        <w:spacing w:after="40"/>
        <w:ind w:left="283"/>
        <w:keepLines/>
      </w:pPr>
      <w:r>
        <w:rPr>
          <w:rFonts w:ascii="Arial" w:hAnsi="Arial"/>
          <w:b w:val="0"/>
          <w:i w:val="0"/>
          <w:color w:val="000000"/>
          <w:sz w:val="22"/>
        </w:rPr>
        <w:t>[ ] Park unless subsequently connected by further evidence</w:t>
      </w:r>
    </w:p>
    <w:p>
      <w:pPr>
        <w:spacing w:before="0" w:after="140" w:line="259" w:lineRule="auto"/>
        <w:keepLines/>
      </w:pPr>
      <w:r>
        <w:rPr>
          <w:rFonts w:ascii="Arial" w:hAnsi="Arial"/>
          <w:b/>
          <w:i w:val="0"/>
          <w:color w:val="000000"/>
          <w:sz w:val="22"/>
        </w:rPr>
        <w:t xml:space="preserve">Human review: </w:t>
      </w:r>
      <w:r>
        <w:rPr>
          <w:rFonts w:ascii="Arial" w:hAnsi="Arial"/>
          <w:b w:val="0"/>
          <w:i w:val="0"/>
          <w:color w:val="000000"/>
          <w:sz w:val="22"/>
        </w:rPr>
        <w:t>Reviewed and accepted by: [NAME TO BE INSERTED], Human Operator / [professional role to be inserted]. Date: 3 September 2026.</w:t>
      </w:r>
    </w:p>
    <w:p>
      <w:pPr>
        <w:spacing w:before="0" w:after="140" w:line="259" w:lineRule="auto"/>
        <w:keepLines/>
      </w:pPr>
      <w:r>
        <w:rPr>
          <w:rFonts w:ascii="Arial" w:hAnsi="Arial"/>
          <w:b/>
          <w:i w:val="0"/>
          <w:color w:val="000000"/>
          <w:sz w:val="22"/>
        </w:rPr>
        <w:t xml:space="preserve">AI assistance: </w:t>
      </w:r>
      <w:r>
        <w:rPr>
          <w:rFonts w:ascii="Arial" w:hAnsi="Arial"/>
          <w:b w:val="0"/>
          <w:i w:val="0"/>
          <w:color w:val="000000"/>
          <w:sz w:val="22"/>
        </w:rPr>
        <w:t>AI (DL/Codex) assisted with read-only search, comparison, duplicate classification, provenance checks and drafting. The findings S19-F001 to S19-F003 were reviewed and accepted by the Human Operator. Independent assurance remains pending.</w:t>
      </w:r>
    </w:p>
    <w:p>
      <w:pPr>
        <w:spacing w:before="0" w:after="140" w:line="259" w:lineRule="auto"/>
        <w:keepLines/>
      </w:pPr>
      <w:r>
        <w:rPr>
          <w:rFonts w:ascii="Arial" w:hAnsi="Arial"/>
          <w:b/>
          <w:i w:val="0"/>
          <w:color w:val="000000"/>
          <w:sz w:val="22"/>
        </w:rPr>
        <w:t xml:space="preserve">Supporting analytical record: </w:t>
      </w:r>
      <w:r>
        <w:rPr>
          <w:rFonts w:ascii="Arial" w:hAnsi="Arial"/>
          <w:b w:val="0"/>
          <w:i w:val="0"/>
          <w:color w:val="000000"/>
          <w:sz w:val="22"/>
        </w:rPr>
        <w:t>Dossier Space Session DS-20260903-S19; Finding IDs S19-F001, S19-F002 and S19-F003. Detailed method, execution log, source-member provenance, SHA-256 verification, native working copies, limitations and ROMER record are retained separately and available if required.</w:t>
      </w:r>
    </w:p>
    <w:p>
      <w:pPr>
        <w:spacing w:before="200"/>
        <w:jc w:val="right"/>
      </w:pPr>
      <w:r>
        <w:rPr>
          <w:rFonts w:ascii="Arial" w:hAnsi="Arial"/>
          <w:b/>
          <w:i w:val="0"/>
          <w:color w:val="000000"/>
          <w:sz w:val="22"/>
        </w:rPr>
        <w:t>Bundle page: [TO BE ASSIGNED]</w:t>
      </w:r>
    </w:p>
    <w:sectPr w:rsidR="00FC693F" w:rsidRPr="0006063C" w:rsidSect="00034616">
      <w:headerReference w:type="default" r:id="rId9"/>
      <w:footerReference w:type="default" r:id="rId10"/>
      <w:pgSz w:w="11906" w:h="16838"/>
      <w:pgMar w:top="1247"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666666"/>
        <w:sz w:val="16"/>
      </w:rPr>
      <w:t>DS-20260903-S19 | Court-template experiment | Bundle pagination not assigned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b/>
        <w:i w:val="0"/>
        <w:color w:val="9B1C1C"/>
        <w:sz w:val="18"/>
      </w:rPr>
      <w:t>DRAFT - EXPERIMENTAL ANALYTICAL FINDING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analytical finding - John Dudmesh</dc:title>
  <dc:subject>Dossier Space Session DS-20260903-S19</dc:subject>
  <dc:creator>Dossier Space / DL (AI-assisted draft)</dc:creator>
  <cp:keywords>DRAFT, experimental, analytical finding, DS-20260903-S19</cp:keywords>
  <dc:description>generated by python-docx</dc:description>
  <cp:lastModifiedBy/>
  <cp:revision>1</cp:revision>
  <dcterms:created xsi:type="dcterms:W3CDTF">2013-12-23T23:15:00Z</dcterms:created>
  <dcterms:modified xsi:type="dcterms:W3CDTF">2013-12-23T23:15:00Z</dcterms:modified>
  <cp:category/>
</cp:coreProperties>
</file>