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DOSSIER SPACE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 Workstation Build — Overview Record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Session record for Design Lead (DL) / Operator records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August 2026</w:t>
            </w:r>
          </w:p>
        </w:tc>
      </w:tr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sandbox (isolated from operator workstation)</w:t>
            </w:r>
          </w:p>
        </w:tc>
      </w:tr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INITIAL_SETUP complete — ready for small test corpus</w:t>
            </w:r>
          </w:p>
        </w:tc>
      </w:tr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Corpus 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live corpus present (by design). Structure is corpus-agnostic.</w:t>
            </w:r>
          </w:p>
        </w:tc>
      </w:tr>
      <w:t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brief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Dossier Space Workstation Build Induction Brief for DL (28 Aug 2026)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Purpose of this record</w:t>
      </w:r>
    </w:p>
    <w:p>
      <w:pPr>
        <w:spacing w:after="120"/>
      </w:pPr>
      <w:r>
        <w:t xml:space="preserve">This document records what was actually built in response to the Design Lead induction brief. It serves as a concise, reconstructible summary for the operator’s records. It does not itself constitute a formal analytical session or ROMER.</w:t>
      </w:r>
    </w:p>
    <w:p>
      <w:pPr>
        <w:pStyle w:val="Heading1"/>
      </w:pPr>
      <w:r>
        <w:t xml:space="preserve">2. What was requested</w:t>
      </w:r>
    </w:p>
    <w:p>
      <w:pPr>
        <w:spacing w:after="80"/>
      </w:pPr>
      <w:r>
        <w:t xml:space="preserve">The induction brief instructed DL to design and establish a sovereign, method-neutral Dossier Space capable of working directly over a complete evidential corpus (initially the full raw Enron set, ~120 GB), without pre-committing to RAG, vector databases or any other retrieval fashion. The design had to be portable, reconstructible, and usable by a competent reviewer or successor AI without reliance on the originating conversation.</w:t>
      </w:r>
    </w:p>
    <w:p>
      <w:pPr>
        <w:spacing w:after="80"/>
      </w:pPr>
      <w:r>
        <w:rPr>
          <w:b/>
          <w:bCs/>
        </w:rPr>
        <w:t xml:space="preserve">Immediate deliverables requested (§13 of the brief):</w:t>
      </w:r>
    </w:p>
    <w:p>
      <w:pPr>
        <w:pStyle w:val="ListParagraph"/>
        <w:numPr>
          <w:ilvl w:val="0"/>
          <w:numId w:val="2"/>
        </w:numPr>
      </w:pPr>
      <w:r>
        <w:t xml:space="preserve">Proposed physical and logical folder tree</w:t>
      </w:r>
    </w:p>
    <w:p>
      <w:pPr>
        <w:pStyle w:val="ListParagraph"/>
        <w:numPr>
          <w:ilvl w:val="0"/>
          <w:numId w:val="2"/>
        </w:numPr>
      </w:pPr>
      <w:r>
        <w:t xml:space="preserve">Root governing files and starter Dossier Space Primer</w:t>
      </w:r>
    </w:p>
    <w:p>
      <w:pPr>
        <w:pStyle w:val="ListParagraph"/>
        <w:numPr>
          <w:ilvl w:val="0"/>
          <w:numId w:val="2"/>
        </w:numPr>
      </w:pPr>
      <w:r>
        <w:t xml:space="preserve">Session-template folder implementing expected-versus-actual capture</w:t>
      </w:r>
    </w:p>
    <w:p>
      <w:pPr>
        <w:pStyle w:val="ListParagraph"/>
        <w:numPr>
          <w:ilvl w:val="0"/>
          <w:numId w:val="2"/>
        </w:numPr>
      </w:pPr>
      <w:r>
        <w:t xml:space="preserve">Simple logging design</w:t>
      </w:r>
    </w:p>
    <w:p>
      <w:pPr>
        <w:pStyle w:val="ListParagraph"/>
        <w:numPr>
          <w:ilvl w:val="0"/>
          <w:numId w:val="2"/>
        </w:numPr>
      </w:pPr>
      <w:r>
        <w:t xml:space="preserve">Custody baseline approach suitable for ~120 GB</w:t>
      </w:r>
    </w:p>
    <w:p>
      <w:pPr>
        <w:pStyle w:val="ListParagraph"/>
        <w:numPr>
          <w:ilvl w:val="0"/>
          <w:numId w:val="2"/>
        </w:numPr>
      </w:pPr>
      <w:r>
        <w:t xml:space="preserve">Method-library structure (direct, RAG, Diplomatics, AHP/ANP, etc.)</w:t>
      </w:r>
    </w:p>
    <w:p>
      <w:pPr>
        <w:pStyle w:val="ListParagraph"/>
        <w:numPr>
          <w:ilvl w:val="0"/>
          <w:numId w:val="2"/>
        </w:numPr>
      </w:pPr>
      <w:r>
        <w:t xml:space="preserve">Portability / bootstrap note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Short validation plan for the first direct-corpus Enron test</w:t>
      </w:r>
    </w:p>
    <w:p>
      <w:pPr>
        <w:pStyle w:val="Heading1"/>
      </w:pPr>
      <w:r>
        <w:t xml:space="preserve">3. What was delivered</w:t>
      </w:r>
    </w:p>
    <w:p>
      <w:pPr>
        <w:spacing w:after="120"/>
      </w:pPr>
      <w:r>
        <w:t xml:space="preserve">All eight requested deliverables were completed inside the isolated sandbox. The resulting model is self-describing, uses relative paths, and contains no live large corpus.</w:t>
      </w:r>
    </w:p>
    <w:p>
      <w:pPr>
        <w:pStyle w:val="Heading2"/>
      </w:pPr>
      <w:r>
        <w:t xml:space="preserve">3.1 Top-level structure created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DOSSIER_SPACE_ROOT/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00_CONTROL/          Environment status, portability, logging design, validation plan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01_RAW_CORPUS/       Immutable source only (placeholder README)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02_CUSTODY/          Acquisition record + tiered custody baseline approach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03_PRIMERS_METHODS/  Starter Primer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04_SESSIONS/         Session template with expected / observed / ROMER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05_WORKING/          Disposable scratch area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06_LOGS/             Central logging location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07_EVIDENCE/         Preserved result sets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08_FINDINGS/         Finding register location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09_ROMER/            ROMER artefacts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10_OUTPUTS/          Downstream reports &amp; exhibits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11_ASSURANCE/        Independent review records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12_TOOLS/            Optional helper scripts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13_METHOD_LIBRARY/   Nine method cards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└── 99_ARCHIVE/          Superseded material</w:t>
      </w:r>
    </w:p>
    <w:p>
      <w:pPr>
        <w:pStyle w:val="Heading2"/>
      </w:pPr>
      <w:r>
        <w:t xml:space="preserve">3.2 Root governing 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README.md</w:t>
      </w:r>
      <w:r>
        <w:t xml:space="preserve"> — orientation for any new human or AI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DIRECTIVE.md</w:t>
      </w:r>
      <w:r>
        <w:t xml:space="preserve"> — controlling directive and non-negotiable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DOSSIER.yaml</w:t>
      </w:r>
      <w:r>
        <w:t xml:space="preserve"> — identity, paths, roles,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ROLES.md</w:t>
      </w:r>
      <w:r>
        <w:t xml:space="preserve"> — role register and authority boundaries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CHANGELOG.md</w:t>
      </w:r>
      <w:r>
        <w:t xml:space="preserve"> — material changes to structure/controls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KNOWN_LIMITATIONS.md</w:t>
      </w:r>
      <w:r>
        <w:t xml:space="preserve"> — technical, evidential and operational limits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SESSION_REGISTER.csv</w:t>
      </w:r>
      <w:r>
        <w:t xml:space="preserve"> — formal session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FINDINGS_REGISTER.csv</w:t>
      </w:r>
      <w:r>
        <w:t xml:space="preserve"> — stable finding IDs and status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METHOD_REGISTER.md</w:t>
      </w:r>
      <w:r>
        <w:t xml:space="preserve"> — available methods and approval state</w:t>
      </w:r>
    </w:p>
    <w:p>
      <w:pPr>
        <w:pStyle w:val="Heading2"/>
      </w:pPr>
      <w:r>
        <w:t xml:space="preserve">3.3 Session template (expected-versus-actual)</w:t>
      </w:r>
    </w:p>
    <w:p>
      <w:pPr>
        <w:spacing w:after="80"/>
      </w:pPr>
      <w:r>
        <w:t xml:space="preserve">Located at 04_SESSIONS/_TEMPLATE_DS-YYYYMMDD-SNN/. Contains:</w:t>
      </w:r>
    </w:p>
    <w:p>
      <w:pPr>
        <w:pStyle w:val="ListParagraph"/>
        <w:numPr>
          <w:ilvl w:val="0"/>
          <w:numId w:val="3"/>
        </w:numPr>
      </w:pPr>
      <w:r>
        <w:t xml:space="preserve">plan/EXPECTED.md — completed before execution</w:t>
      </w:r>
    </w:p>
    <w:p>
      <w:pPr>
        <w:pStyle w:val="ListParagraph"/>
        <w:numPr>
          <w:ilvl w:val="0"/>
          <w:numId w:val="3"/>
        </w:numPr>
      </w:pPr>
      <w:r>
        <w:t xml:space="preserve">execution/OBSERVED.md — completed after execution; reconciles against plan</w:t>
      </w:r>
    </w:p>
    <w:p>
      <w:pPr>
        <w:pStyle w:val="ListParagraph"/>
        <w:numPr>
          <w:ilvl w:val="0"/>
          <w:numId w:val="3"/>
        </w:numPr>
      </w:pPr>
      <w:r>
        <w:t xml:space="preserve">ROMER.md — produced from the captured record, not from memory</w:t>
      </w:r>
    </w:p>
    <w:p>
      <w:pPr>
        <w:pStyle w:val="ListParagraph"/>
        <w:numPr>
          <w:ilvl w:val="0"/>
          <w:numId w:val="3"/>
        </w:numPr>
      </w:pPr>
      <w:r>
        <w:t xml:space="preserve">results/, findings/, assurance/, logs/ subfolders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Session README describing the minimal workflow</w:t>
      </w:r>
    </w:p>
    <w:p>
      <w:pPr>
        <w:pStyle w:val="Heading2"/>
      </w:pPr>
      <w:r>
        <w:t xml:space="preserve">3.4 Method library</w:t>
      </w:r>
    </w:p>
    <w:p>
      <w:pPr>
        <w:spacing w:after="80"/>
      </w:pPr>
      <w:r>
        <w:t xml:space="preserve">Nine method cards under 13_METHOD_LIBRARY/, each stating when suitable, minimum inputs, main risks, expected outputs and assurance requirements:</w:t>
      </w:r>
    </w:p>
    <w:p>
      <w:pPr>
        <w:pStyle w:val="ListParagraph"/>
        <w:numPr>
          <w:ilvl w:val="0"/>
          <w:numId w:val="3"/>
        </w:numPr>
      </w:pPr>
      <w:r>
        <w:t xml:space="preserve">Direct / native filesystem &amp; database interrogation (default)</w:t>
      </w:r>
    </w:p>
    <w:p>
      <w:pPr>
        <w:pStyle w:val="ListParagraph"/>
        <w:numPr>
          <w:ilvl w:val="0"/>
          <w:numId w:val="3"/>
        </w:numPr>
      </w:pPr>
      <w:r>
        <w:t xml:space="preserve">Conventional full-text / regex / metadata search</w:t>
      </w:r>
    </w:p>
    <w:p>
      <w:pPr>
        <w:pStyle w:val="ListParagraph"/>
        <w:numPr>
          <w:ilvl w:val="0"/>
          <w:numId w:val="3"/>
        </w:numPr>
      </w:pPr>
      <w:r>
        <w:t xml:space="preserve">RAG / embeddings / semantic retrieval (selective only)</w:t>
      </w:r>
    </w:p>
    <w:p>
      <w:pPr>
        <w:pStyle w:val="ListParagraph"/>
        <w:numPr>
          <w:ilvl w:val="0"/>
          <w:numId w:val="3"/>
        </w:numPr>
      </w:pPr>
      <w:r>
        <w:t xml:space="preserve">Diplomatics &amp; documentary authenticity/provenance</w:t>
      </w:r>
    </w:p>
    <w:p>
      <w:pPr>
        <w:pStyle w:val="ListParagraph"/>
        <w:numPr>
          <w:ilvl w:val="0"/>
          <w:numId w:val="3"/>
        </w:numPr>
      </w:pPr>
      <w:r>
        <w:t xml:space="preserve">AHP / ANP and structured decision methods</w:t>
      </w:r>
    </w:p>
    <w:p>
      <w:pPr>
        <w:pStyle w:val="ListParagraph"/>
        <w:numPr>
          <w:ilvl w:val="0"/>
          <w:numId w:val="3"/>
        </w:numPr>
      </w:pPr>
      <w:r>
        <w:t xml:space="preserve">Timeline &amp; sequence reconstruction</w:t>
      </w:r>
    </w:p>
    <w:p>
      <w:pPr>
        <w:pStyle w:val="ListParagraph"/>
        <w:numPr>
          <w:ilvl w:val="0"/>
          <w:numId w:val="3"/>
        </w:numPr>
      </w:pPr>
      <w:r>
        <w:t xml:space="preserve">Entity / relationship / network analysis</w:t>
      </w:r>
    </w:p>
    <w:p>
      <w:pPr>
        <w:pStyle w:val="ListParagraph"/>
        <w:numPr>
          <w:ilvl w:val="0"/>
          <w:numId w:val="3"/>
        </w:numPr>
      </w:pPr>
      <w:r>
        <w:t xml:space="preserve">Statistical &amp; anomaly analysis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Classification / clustering (selective)</w:t>
      </w:r>
    </w:p>
    <w:p>
      <w:pPr>
        <w:pStyle w:val="Heading2"/>
      </w:pPr>
      <w:r>
        <w:t xml:space="preserve">3.5 Supporting control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00_CONTROL/LOGGING_DESIGN.md</w:t>
      </w:r>
      <w:r>
        <w:t xml:space="preserve"> — lightweight, reconstructible logging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02_CUSTODY/CUSTODY_BASELINE_APPROACH.md</w:t>
      </w:r>
      <w:r>
        <w:t xml:space="preserve"> — tiered strategy practical at ~120 GB scale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00_CONTROL/PORTABILITY.md</w:t>
      </w:r>
      <w:r>
        <w:t xml:space="preserve"> — how to recreate the model on another workstation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00_CONTROL/VALIDATION_PLAN_ENRON.md</w:t>
      </w:r>
      <w:r>
        <w:t xml:space="preserve"> — first-validation steps for the environment itself</w:t>
      </w:r>
    </w:p>
    <w:p>
      <w:pPr>
        <w:pStyle w:val="Heading1"/>
      </w:pPr>
      <w:r>
        <w:t xml:space="preserve">4. Design principles observed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Immutable source</w:t>
      </w:r>
      <w:r>
        <w:t xml:space="preserve"> — raw corpus remains untouched; work occurs around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 access is the default substrate</w:t>
      </w:r>
      <w:r>
        <w:t xml:space="preserve"> — RAG and other techniques are selectable, never mandatory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 vs actual</w:t>
      </w:r>
      <w:r>
        <w:t xml:space="preserve"> — built into every formal session template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 visibility &amp; failure visibility</w:t>
      </w:r>
      <w:r>
        <w:t xml:space="preserve"> — parameters, paths, errors and interventions are first-class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 separation</w:t>
      </w:r>
      <w:r>
        <w:t xml:space="preserve"> — Human Operator, Design/Leader AI, Execution tools, Dossier Space AI, Assurance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Portability</w:t>
      </w:r>
      <w:r>
        <w:t xml:space="preserve"> — relative paths, plain-text controls, no vendor lock-in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Reconstructibility</w:t>
      </w:r>
      <w:r>
        <w:t xml:space="preserve"> — a competent reviewer can understand the environment without the original chat</w:t>
      </w:r>
    </w:p>
    <w:p>
      <w:pPr>
        <w:pStyle w:val="Heading1"/>
      </w:pPr>
      <w:r>
        <w:t xml:space="preserve">5. Explicit limitations of this build session</w:t>
      </w:r>
    </w:p>
    <w:p>
      <w:pPr>
        <w:pStyle w:val="ListParagraph"/>
        <w:numPr>
          <w:ilvl w:val="0"/>
          <w:numId w:val="3"/>
        </w:numPr>
      </w:pPr>
      <w:r>
        <w:t xml:space="preserve">The full raw Enron corpus (~70–120 GB) was never present and could not be loaded into this chat environment.</w:t>
      </w:r>
    </w:p>
    <w:p>
      <w:pPr>
        <w:pStyle w:val="ListParagraph"/>
        <w:numPr>
          <w:ilvl w:val="0"/>
          <w:numId w:val="3"/>
        </w:numPr>
      </w:pPr>
      <w:r>
        <w:t xml:space="preserve">No absolute paths or machine-specific drive letters were hard-coded; those remain for the target SSD.</w:t>
      </w:r>
    </w:p>
    <w:p>
      <w:pPr>
        <w:pStyle w:val="ListParagraph"/>
        <w:numPr>
          <w:ilvl w:val="0"/>
          <w:numId w:val="3"/>
        </w:numPr>
      </w:pPr>
      <w:r>
        <w:t xml:space="preserve">No live analytical session was executed against real evidence.</w:t>
      </w:r>
    </w:p>
    <w:p>
      <w:pPr>
        <w:pStyle w:val="ListParagraph"/>
        <w:numPr>
          <w:ilvl w:val="0"/>
          <w:numId w:val="3"/>
        </w:numPr>
      </w:pPr>
      <w:r>
        <w:t xml:space="preserve">No access exists (or was attempted) to the operator’s local workstation, SSD or network.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All artefacts exist only inside the isolated remote sandbox used for this conversation.</w:t>
      </w:r>
    </w:p>
    <w:p>
      <w:pPr>
        <w:pStyle w:val="Heading1"/>
      </w:pPr>
      <w:r>
        <w:t xml:space="preserve">6. Capability confirmation (what this session demonstrated)</w:t>
      </w:r>
    </w:p>
    <w:p>
      <w:pPr>
        <w:spacing w:after="80"/>
      </w:pPr>
      <w:r>
        <w:t xml:space="preserve">This session confirmed that a capable AI operating under the induction brief can:</w:t>
      </w:r>
    </w:p>
    <w:p>
      <w:pPr>
        <w:pStyle w:val="ListParagraph"/>
        <w:numPr>
          <w:ilvl w:val="0"/>
          <w:numId w:val="3"/>
        </w:numPr>
      </w:pPr>
      <w:r>
        <w:t xml:space="preserve">Read and interpret a detailed method-neutral design brief</w:t>
      </w:r>
    </w:p>
    <w:p>
      <w:pPr>
        <w:pStyle w:val="ListParagraph"/>
        <w:numPr>
          <w:ilvl w:val="0"/>
          <w:numId w:val="3"/>
        </w:numPr>
      </w:pPr>
      <w:r>
        <w:t xml:space="preserve">Produce a complete, numbered, human-intelligible folder tree</w:t>
      </w:r>
    </w:p>
    <w:p>
      <w:pPr>
        <w:pStyle w:val="ListParagraph"/>
        <w:numPr>
          <w:ilvl w:val="0"/>
          <w:numId w:val="3"/>
        </w:numPr>
      </w:pPr>
      <w:r>
        <w:t xml:space="preserve">Create the full set of governing files, primers, registers and method cards</w:t>
      </w:r>
    </w:p>
    <w:p>
      <w:pPr>
        <w:pStyle w:val="ListParagraph"/>
        <w:numPr>
          <w:ilvl w:val="0"/>
          <w:numId w:val="3"/>
        </w:numPr>
      </w:pPr>
      <w:r>
        <w:t xml:space="preserve">Implement the expected-versus-actual capture model inside a reusable session template</w:t>
      </w:r>
    </w:p>
    <w:p>
      <w:pPr>
        <w:pStyle w:val="ListParagraph"/>
        <w:numPr>
          <w:ilvl w:val="0"/>
          <w:numId w:val="3"/>
        </w:numPr>
      </w:pPr>
      <w:r>
        <w:t xml:space="preserve">Document logging, custody, portability and first-validation approaches</w:t>
      </w:r>
    </w:p>
    <w:p>
      <w:pPr>
        <w:pStyle w:val="ListParagraph"/>
        <w:numPr>
          <w:ilvl w:val="0"/>
          <w:numId w:val="3"/>
        </w:numPr>
      </w:pPr>
      <w:r>
        <w:t xml:space="preserve">Remain strictly within the sandbox boundary and correctly report the absence of access to the operator’s machine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Leave a coherent, reconstructible record of what was requested and what was actually delivered</w:t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Copy or transfer the entire DOSSIER_SPACE_ROOT tree onto the target SSD / workstation.</w:t>
      </w:r>
    </w:p>
    <w:p>
      <w:pPr>
        <w:pStyle w:val="ListParagraph"/>
        <w:numPr>
          <w:ilvl w:val="0"/>
          <w:numId w:val="2"/>
        </w:numPr>
      </w:pPr>
      <w:r>
        <w:t xml:space="preserve">Place a small test corpus under 01_RAW_CORPUS/ (preserve original structure and filenames).</w:t>
      </w:r>
    </w:p>
    <w:p>
      <w:pPr>
        <w:pStyle w:val="ListParagraph"/>
        <w:numPr>
          <w:ilvl w:val="0"/>
          <w:numId w:val="2"/>
        </w:numPr>
      </w:pPr>
      <w:r>
        <w:t xml:space="preserve">Complete 02_CUSTODY/ACQUISITION.md and a lightweight custody baseline.</w:t>
      </w:r>
    </w:p>
    <w:p>
      <w:pPr>
        <w:pStyle w:val="ListParagraph"/>
        <w:numPr>
          <w:ilvl w:val="0"/>
          <w:numId w:val="2"/>
        </w:numPr>
      </w:pPr>
      <w:r>
        <w:t xml:space="preserve">Create the first formal session from the template (e.g. DS-20260828-S01).</w:t>
      </w:r>
    </w:p>
    <w:p>
      <w:pPr>
        <w:pStyle w:val="ListParagraph"/>
        <w:numPr>
          <w:ilvl w:val="0"/>
          <w:numId w:val="2"/>
        </w:numPr>
      </w:pPr>
      <w:r>
        <w:t xml:space="preserve">Load the Starter Primer and execute a bounded direct-access task.</w:t>
      </w:r>
    </w:p>
    <w:p>
      <w:pPr>
        <w:pStyle w:val="ListParagraph"/>
        <w:numPr>
          <w:ilvl w:val="0"/>
          <w:numId w:val="2"/>
        </w:numPr>
      </w:pPr>
      <w:r>
        <w:t xml:space="preserve">Complete EXPECTED → OBSERVED → ROMER and preserve result artefacts.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Only after the environment itself is validated, consider scale tests or selective supplementary methods.</w:t>
      </w: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Working principle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Evidence remains native. Methods are selectable. Actions are visible.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Material artefacts are captured. ROMER reconciles intent with execution. Assurance tests the record.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Generated 28 August 2026  |  Model Environment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Dossier Space — Model Workstation Build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2026-08-28T14:32:15.951Z</dcterms:created>
  <dcterms:modified xsi:type="dcterms:W3CDTF">2026-08-28T14:32:15.951Z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