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0A2540"/>
          <w:sz w:val="72"/>
          <w:szCs w:val="72"/>
        </w:rPr>
        <w:t xml:space="preserve">NEST BOND</w:t>
      </w:r>
    </w:p>
    <w:p>
      <w:pPr>
        <w:spacing w:after="120"/>
        <w:jc w:val="center"/>
      </w:pPr>
      <w:r>
        <w:rPr>
          <w:b/>
          <w:bCs/>
          <w:color w:val="0F4C81"/>
          <w:sz w:val="56"/>
          <w:szCs w:val="56"/>
        </w:rPr>
        <w:t xml:space="preserve">USE CASE MANUAL</w:t>
      </w:r>
    </w:p>
    <w:p>
      <w:pPr>
        <w:spacing w:after="120"/>
        <w:jc w:val="center"/>
      </w:pPr>
      <w:r>
        <w:rPr>
          <w:color w:val="B8860B"/>
          <w:sz w:val="32"/>
          <w:szCs w:val="32"/>
        </w:rPr>
        <w:t xml:space="preserve">Chapter 1</w:t>
      </w:r>
    </w:p>
    <w:p>
      <w:pPr>
        <w:spacing w:after="480"/>
        <w:jc w:val="center"/>
      </w:pPr>
      <w:r>
        <w:rPr>
          <w:b/>
          <w:bCs/>
          <w:color w:val="0A2540"/>
          <w:sz w:val="44"/>
          <w:szCs w:val="44"/>
        </w:rPr>
        <w:t xml:space="preserve">M&amp;A ACQUISITION BONDS</w:t>
      </w:r>
    </w:p>
    <w:p>
      <w:pPr>
        <w:spacing w:after="1800"/>
        <w:jc w:val="center"/>
      </w:pPr>
      <w:r>
        <w:rPr>
          <w:i/>
          <w:iCs/>
          <w:color w:val="374151"/>
          <w:sz w:val="24"/>
          <w:szCs w:val="24"/>
        </w:rPr>
        <w:t xml:space="preserve">The Bond Solution for the Middle-Market M&amp;A Financing Gap</w:t>
      </w:r>
    </w:p>
    <w:p>
      <w:pPr>
        <w:spacing w:after="60"/>
        <w:jc w:val="center"/>
      </w:pPr>
      <w:r>
        <w:rPr>
          <w:b/>
          <w:bCs/>
          <w:color w:val="0A2540"/>
          <w:sz w:val="22"/>
          <w:szCs w:val="22"/>
        </w:rPr>
        <w:t xml:space="preserve">Sean Gilmore, Co-Founder</w:t>
      </w:r>
    </w:p>
    <w:p>
      <w:pPr>
        <w:spacing w:after="600"/>
        <w:jc w:val="center"/>
      </w:pPr>
      <w:r>
        <w:rPr>
          <w:b/>
          <w:bCs/>
          <w:color w:val="0A2540"/>
          <w:sz w:val="22"/>
          <w:szCs w:val="22"/>
        </w:rPr>
        <w:t xml:space="preserve">Josh Edwards, Co-Founder</w:t>
      </w:r>
    </w:p>
    <w:p>
      <w:pPr>
        <w:spacing w:after="240"/>
        <w:jc w:val="center"/>
      </w:pPr>
      <w:r>
        <w:rPr>
          <w:i/>
          <w:iCs/>
          <w:color w:val="6B7280"/>
          <w:sz w:val="18"/>
          <w:szCs w:val="18"/>
        </w:rPr>
        <w:t xml:space="preserve">Internal Operating Document — Confidential</w:t>
      </w:r>
    </w:p>
    <w:p>
      <w:r>
        <w:br w:type="page"/>
      </w:r>
    </w:p>
    <w:p>
      <w:pPr>
        <w:pStyle w:val="Heading1"/>
        <w:pageBreakBefore/>
        <w:spacing w:after="240" w:before="480"/>
      </w:pPr>
      <w:r>
        <w:rPr>
          <w:b/>
          <w:bCs/>
          <w:color w:val="0A2540"/>
          <w:sz w:val="40"/>
          <w:szCs w:val="40"/>
        </w:rPr>
        <w:t xml:space="preserve">PREFACE TO THE USE CASE MANUAL</w:t>
      </w:r>
    </w:p>
    <w:p>
      <w:pPr>
        <w:spacing w:after="180" w:before="120" w:line="320"/>
        <w:jc w:val="both"/>
      </w:pPr>
      <w:r>
        <w:rPr>
          <w:color w:val="1F2937"/>
          <w:sz w:val="22"/>
          <w:szCs w:val="22"/>
        </w:rPr>
        <w:t xml:space="preserve">Nest Bond is the firm's lead product. Bonds are the financing instrument; the use case is what determines the structuring profile. A bond financing the construction of a new senior living facility is structured very differently from a bond financing a private equity acquisition of an operating company. Different draw schedules. Different amortization. Different reserves. Different covenants. Different documents. Different counterparties. Different rating considerations.</w:t>
      </w:r>
    </w:p>
    <w:p>
      <w:pPr>
        <w:spacing w:after="180" w:before="120" w:line="320"/>
        <w:jc w:val="both"/>
      </w:pPr>
      <w:r>
        <w:rPr>
          <w:color w:val="1F2937"/>
          <w:sz w:val="22"/>
          <w:szCs w:val="22"/>
        </w:rPr>
        <w:t xml:space="preserve">The Nest Bond Use Case Manual catalogues the structuring profiles by use case. Each chapter covers one use case. Each chapter follows the same six-layer template: the use case framing (who borrows, what the bond funds, why a bond beats the alternatives), the glossary of use-case-specific terms, the ingestion process and readiness checklist, the documents needed to run the use case, the math (sizing, valuation, leverage), the bond product layer (which bond types qualify, amortization, reserves, covenants, optionality), the tech stack layer (workbench, data feeds, integrations), and the organizational mirror (which Nest agents work the deal, which counterparties they interface with).</w:t>
      </w:r>
    </w:p>
    <w:p>
      <w:pPr>
        <w:spacing w:after="80" w:before="120" w:line="320"/>
      </w:pPr>
      <w:r>
        <w:rPr>
          <w:b/>
          <w:bCs/>
          <w:color w:val="1F2937"/>
          <w:sz w:val="22"/>
          <w:szCs w:val="22"/>
        </w:rPr>
        <w:t xml:space="preserve">The use cases planned for the manual:</w:t>
      </w:r>
    </w:p>
    <w:p>
      <w:pPr>
        <w:spacing w:after="60"/>
      </w:pPr>
      <w:r>
        <w:rPr>
          <w:color w:val="1F2937"/>
          <w:sz w:val="22"/>
          <w:szCs w:val="22"/>
        </w:rPr>
        <w:t xml:space="preserve">  •  Chapter 1 — M&amp;A Acquisition Bonds (this chapter)</w:t>
      </w:r>
    </w:p>
    <w:p>
      <w:pPr>
        <w:spacing w:after="60"/>
      </w:pPr>
      <w:r>
        <w:rPr>
          <w:color w:val="1F2937"/>
          <w:sz w:val="22"/>
          <w:szCs w:val="22"/>
        </w:rPr>
        <w:t xml:space="preserve">  •  Chapter 2 — Construction and Development Bonds</w:t>
      </w:r>
    </w:p>
    <w:p>
      <w:pPr>
        <w:spacing w:after="60"/>
      </w:pPr>
      <w:r>
        <w:rPr>
          <w:color w:val="1F2937"/>
          <w:sz w:val="22"/>
          <w:szCs w:val="22"/>
        </w:rPr>
        <w:t xml:space="preserve">  •  Chapter 3 — Working Capital Bonds</w:t>
      </w:r>
    </w:p>
    <w:p>
      <w:pPr>
        <w:spacing w:after="60"/>
      </w:pPr>
      <w:r>
        <w:rPr>
          <w:color w:val="1F2937"/>
          <w:sz w:val="22"/>
          <w:szCs w:val="22"/>
        </w:rPr>
        <w:t xml:space="preserve">  •  Chapter 4 — Equipment Bonds</w:t>
      </w:r>
    </w:p>
    <w:p>
      <w:pPr>
        <w:spacing w:after="180"/>
      </w:pPr>
      <w:r>
        <w:rPr>
          <w:color w:val="1F2937"/>
          <w:sz w:val="22"/>
          <w:szCs w:val="22"/>
        </w:rPr>
        <w:t xml:space="preserve">  •  Chapter 5 — Real Estate Acquisition and Stabilization Bonds</w:t>
      </w:r>
    </w:p>
    <w:p>
      <w:pPr>
        <w:spacing w:after="180" w:before="120" w:line="320"/>
        <w:jc w:val="both"/>
      </w:pPr>
      <w:r>
        <w:rPr>
          <w:color w:val="1F2937"/>
          <w:sz w:val="22"/>
          <w:szCs w:val="22"/>
        </w:rPr>
        <w:t xml:space="preserve">Chapters are produced in series. This Chapter 1 establishes the template; subsequent chapters apply the template to other use cases. Cross-cutting bond mechanics — anatomy, players, universal documents, pricing concepts, rating mechanics, optionality — are covered in the existing Bond Bible (Pass 1) and are not re-explained in the use case manual. Each chapter focuses on what is different about its use case.</w:t>
      </w:r>
    </w:p>
    <w:p>
      <w:pPr>
        <w:spacing w:after="240" w:before="120" w:line="320"/>
        <w:jc w:val="both"/>
      </w:pPr>
      <w:r>
        <w:rPr>
          <w:color w:val="1F2937"/>
          <w:sz w:val="22"/>
          <w:szCs w:val="22"/>
        </w:rPr>
        <w:t xml:space="preserve">The use case manual is a companion to two other documents in the Nest set: the Bond Bible (Pass 1), which is the operator's field guide on universal bond mechanics, and the Nest Operating Framework v1, which is the firm's structural spine and organizational structure. The three documents work together. The Bible covers what a bond is. The Operating Framework covers how Nest is organized. The Use Case Manual covers how Nest structures bonds for specific deal types.</w:t>
      </w:r>
    </w:p>
    <w:p>
      <w:pPr>
        <w:spacing w:after="80" w:before="240"/>
        <w:jc w:val="right"/>
      </w:pPr>
      <w:r>
        <w:rPr>
          <w:i/>
          <w:iCs/>
          <w:color w:val="374151"/>
          <w:sz w:val="22"/>
          <w:szCs w:val="22"/>
        </w:rPr>
        <w:t xml:space="preserve">— Sean Gilmore and Josh Edwards</w:t>
      </w:r>
    </w:p>
    <w:p>
      <w:pPr>
        <w:spacing w:after="80"/>
        <w:jc w:val="right"/>
      </w:pPr>
      <w:r>
        <w:rPr>
          <w:i/>
          <w:iCs/>
          <w:color w:val="6B7280"/>
          <w:sz w:val="20"/>
          <w:szCs w:val="20"/>
        </w:rPr>
        <w:t xml:space="preserve">Co-Founders, Nest Advisors</w:t>
      </w:r>
    </w:p>
    <w:p>
      <w:pPr>
        <w:pStyle w:val="Heading1"/>
        <w:pageBreakBefore/>
        <w:spacing w:after="360" w:before="480"/>
      </w:pPr>
      <w:r>
        <w:rPr>
          <w:b/>
          <w:bCs/>
          <w:color w:val="0A2540"/>
          <w:sz w:val="40"/>
          <w:szCs w:val="40"/>
        </w:rPr>
        <w:t xml:space="preserve">CONTENTS</w:t>
      </w:r>
    </w:p>
    <w:p>
      <w:pPr>
        <w:spacing w:after="80" w:before="80"/>
      </w:pPr>
      <w:r>
        <w:rPr>
          <w:b/>
          <w:bCs/>
          <w:color w:val="B8860B"/>
          <w:sz w:val="22"/>
          <w:szCs w:val="22"/>
        </w:rPr>
        <w:t xml:space="preserve">§1</w:t>
      </w:r>
      <w:r>
        <w:rPr>
          <w:color w:val="1F2937"/>
          <w:sz w:val="22"/>
          <w:szCs w:val="22"/>
        </w:rPr>
        <w:t xml:space="preserve">    The Structural Problem Being Solved</w:t>
      </w:r>
    </w:p>
    <w:p>
      <w:pPr>
        <w:spacing w:after="80" w:before="80"/>
      </w:pPr>
      <w:r>
        <w:rPr>
          <w:b/>
          <w:bCs/>
          <w:color w:val="B8860B"/>
          <w:sz w:val="22"/>
          <w:szCs w:val="22"/>
        </w:rPr>
        <w:t xml:space="preserve">§2</w:t>
      </w:r>
      <w:r>
        <w:rPr>
          <w:color w:val="1F2937"/>
          <w:sz w:val="22"/>
          <w:szCs w:val="22"/>
        </w:rPr>
        <w:t xml:space="preserve">    Glossary of M&amp;A Acquisition Bond Terms</w:t>
      </w:r>
    </w:p>
    <w:p>
      <w:pPr>
        <w:spacing w:after="80" w:before="80"/>
      </w:pPr>
      <w:r>
        <w:rPr>
          <w:b/>
          <w:bCs/>
          <w:color w:val="B8860B"/>
          <w:sz w:val="22"/>
          <w:szCs w:val="22"/>
        </w:rPr>
        <w:t xml:space="preserve">§3</w:t>
      </w:r>
      <w:r>
        <w:rPr>
          <w:color w:val="1F2937"/>
          <w:sz w:val="22"/>
          <w:szCs w:val="22"/>
        </w:rPr>
        <w:t xml:space="preserve">    The Ingestion Process</w:t>
      </w:r>
    </w:p>
    <w:p>
      <w:pPr>
        <w:spacing w:after="80" w:before="80"/>
      </w:pPr>
      <w:r>
        <w:rPr>
          <w:b/>
          <w:bCs/>
          <w:color w:val="B8860B"/>
          <w:sz w:val="22"/>
          <w:szCs w:val="22"/>
        </w:rPr>
        <w:t xml:space="preserve">§4</w:t>
      </w:r>
      <w:r>
        <w:rPr>
          <w:color w:val="1F2937"/>
          <w:sz w:val="22"/>
          <w:szCs w:val="22"/>
        </w:rPr>
        <w:t xml:space="preserve">    The Documents Needed to Run an M&amp;A Acquisition Bond</w:t>
      </w:r>
    </w:p>
    <w:p>
      <w:pPr>
        <w:spacing w:after="80" w:before="80"/>
      </w:pPr>
      <w:r>
        <w:rPr>
          <w:b/>
          <w:bCs/>
          <w:color w:val="B8860B"/>
          <w:sz w:val="22"/>
          <w:szCs w:val="22"/>
        </w:rPr>
        <w:t xml:space="preserve">§5</w:t>
      </w:r>
      <w:r>
        <w:rPr>
          <w:color w:val="1F2937"/>
          <w:sz w:val="22"/>
          <w:szCs w:val="22"/>
        </w:rPr>
        <w:t xml:space="preserve">    The Math — Valuation, Sizing, and Leverage</w:t>
      </w:r>
    </w:p>
    <w:p>
      <w:pPr>
        <w:spacing w:after="80" w:before="80"/>
      </w:pPr>
      <w:r>
        <w:rPr>
          <w:b/>
          <w:bCs/>
          <w:color w:val="B8860B"/>
          <w:sz w:val="22"/>
          <w:szCs w:val="22"/>
        </w:rPr>
        <w:t xml:space="preserve">§5A</w:t>
      </w:r>
      <w:r>
        <w:rPr>
          <w:color w:val="1F2937"/>
          <w:sz w:val="22"/>
          <w:szCs w:val="22"/>
        </w:rPr>
        <w:t xml:space="preserve">    Underwriting Standards for M&amp;A Acquisition Bonds</w:t>
      </w:r>
    </w:p>
    <w:p>
      <w:pPr>
        <w:spacing w:after="80" w:before="80"/>
      </w:pPr>
      <w:r>
        <w:rPr>
          <w:b/>
          <w:bCs/>
          <w:color w:val="B8860B"/>
          <w:sz w:val="22"/>
          <w:szCs w:val="22"/>
        </w:rPr>
        <w:t xml:space="preserve">§6</w:t>
      </w:r>
      <w:r>
        <w:rPr>
          <w:color w:val="1F2937"/>
          <w:sz w:val="22"/>
          <w:szCs w:val="22"/>
        </w:rPr>
        <w:t xml:space="preserve">    The Bond Product Layer — Which Bond Types Qualify</w:t>
      </w:r>
    </w:p>
    <w:p>
      <w:pPr>
        <w:spacing w:after="80" w:before="80"/>
      </w:pPr>
      <w:r>
        <w:rPr>
          <w:b/>
          <w:bCs/>
          <w:color w:val="B8860B"/>
          <w:sz w:val="22"/>
          <w:szCs w:val="22"/>
        </w:rPr>
        <w:t xml:space="preserve">§7</w:t>
      </w:r>
      <w:r>
        <w:rPr>
          <w:color w:val="1F2937"/>
          <w:sz w:val="22"/>
          <w:szCs w:val="22"/>
        </w:rPr>
        <w:t xml:space="preserve">    Amortization, Reserves, and Covenant Profile</w:t>
      </w:r>
    </w:p>
    <w:p>
      <w:pPr>
        <w:spacing w:after="80" w:before="80"/>
      </w:pPr>
      <w:r>
        <w:rPr>
          <w:b/>
          <w:bCs/>
          <w:color w:val="B8860B"/>
          <w:sz w:val="22"/>
          <w:szCs w:val="22"/>
        </w:rPr>
        <w:t xml:space="preserve">§6A</w:t>
      </w:r>
      <w:r>
        <w:rPr>
          <w:color w:val="1F2937"/>
          <w:sz w:val="22"/>
          <w:szCs w:val="22"/>
        </w:rPr>
        <w:t xml:space="preserve">    The Specific Bond Type</w:t>
      </w:r>
    </w:p>
    <w:p>
      <w:pPr>
        <w:spacing w:after="80" w:before="80"/>
      </w:pPr>
      <w:r>
        <w:rPr>
          <w:b/>
          <w:bCs/>
          <w:color w:val="B8860B"/>
          <w:sz w:val="22"/>
          <w:szCs w:val="22"/>
        </w:rPr>
        <w:t xml:space="preserve">§7A</w:t>
      </w:r>
      <w:r>
        <w:rPr>
          <w:color w:val="1F2937"/>
          <w:sz w:val="22"/>
          <w:szCs w:val="22"/>
        </w:rPr>
        <w:t xml:space="preserve">    The Specific Amortization Schedule</w:t>
      </w:r>
    </w:p>
    <w:p>
      <w:pPr>
        <w:spacing w:after="80" w:before="80"/>
      </w:pPr>
      <w:r>
        <w:rPr>
          <w:b/>
          <w:bCs/>
          <w:color w:val="B8860B"/>
          <w:sz w:val="22"/>
          <w:szCs w:val="22"/>
        </w:rPr>
        <w:t xml:space="preserve">§8A</w:t>
      </w:r>
      <w:r>
        <w:rPr>
          <w:color w:val="1F2937"/>
          <w:sz w:val="22"/>
          <w:szCs w:val="22"/>
        </w:rPr>
        <w:t xml:space="preserve">    The Specific Optionality and Call Schedule</w:t>
      </w:r>
    </w:p>
    <w:p>
      <w:pPr>
        <w:spacing w:after="80" w:before="80"/>
      </w:pPr>
      <w:r>
        <w:rPr>
          <w:b/>
          <w:bCs/>
          <w:color w:val="B8860B"/>
          <w:sz w:val="22"/>
          <w:szCs w:val="22"/>
        </w:rPr>
        <w:t xml:space="preserve">§8</w:t>
      </w:r>
      <w:r>
        <w:rPr>
          <w:color w:val="1F2937"/>
          <w:sz w:val="22"/>
          <w:szCs w:val="22"/>
        </w:rPr>
        <w:t xml:space="preserve">    The Tech Stack Layer — Platform Architecture</w:t>
      </w:r>
    </w:p>
    <w:p>
      <w:pPr>
        <w:spacing w:after="80" w:before="80"/>
      </w:pPr>
      <w:r>
        <w:rPr>
          <w:b/>
          <w:bCs/>
          <w:color w:val="B8860B"/>
          <w:sz w:val="22"/>
          <w:szCs w:val="22"/>
        </w:rPr>
        <w:t xml:space="preserve">§9</w:t>
      </w:r>
      <w:r>
        <w:rPr>
          <w:color w:val="1F2937"/>
          <w:sz w:val="22"/>
          <w:szCs w:val="22"/>
        </w:rPr>
        <w:t xml:space="preserve">    The Organizational Mirror — Agent Roles</w:t>
      </w:r>
    </w:p>
    <w:p>
      <w:pPr>
        <w:spacing w:after="80" w:before="80"/>
      </w:pPr>
      <w:r>
        <w:rPr>
          <w:b/>
          <w:bCs/>
          <w:color w:val="B8860B"/>
          <w:sz w:val="22"/>
          <w:szCs w:val="22"/>
        </w:rPr>
        <w:t xml:space="preserve">§10</w:t>
      </w:r>
      <w:r>
        <w:rPr>
          <w:color w:val="1F2937"/>
          <w:sz w:val="22"/>
          <w:szCs w:val="22"/>
        </w:rPr>
        <w:t xml:space="preserve">    Closing the M&amp;A Acquisition Bond Use Case Module</w:t>
      </w:r>
    </w:p>
    <w:p>
      <w:pPr>
        <w:pStyle w:val="Heading1"/>
        <w:pageBreakBefore/>
        <w:spacing w:after="240" w:before="480"/>
      </w:pPr>
      <w:r>
        <w:rPr>
          <w:b/>
          <w:bCs/>
          <w:color w:val="0A2540"/>
          <w:sz w:val="40"/>
          <w:szCs w:val="40"/>
        </w:rPr>
        <w:t xml:space="preserve">USE CASE — M&amp;A ACQUISITION BONDS</w:t>
      </w:r>
    </w:p>
    <w:p>
      <w:pPr>
        <w:spacing w:after="140" w:line="320"/>
        <w:jc w:val="both"/>
      </w:pPr>
      <w:r>
        <w:rPr>
          <w:color w:val="1F2937"/>
          <w:sz w:val="22"/>
          <w:szCs w:val="22"/>
        </w:rPr>
        <w:t xml:space="preserve">This module is the structuring profile for bonds issued to finance mergers and acquisitions. The borrower is the acquirer — typically a private equity sponsor, a family office, or a strategic operating company — and the bond proceeds fund the purchase price of a target company (and often the working capital, integration costs, and transaction expenses that go with it). The bond replaces what would otherwise be a bank syndicated term loan, a club deal, or — at smaller transaction sizes — a dilutive equity round that the acquirer accepts because no debt option fits.</w:t>
      </w:r>
    </w:p>
    <w:p>
      <w:pPr>
        <w:spacing w:after="140" w:line="320"/>
        <w:jc w:val="both"/>
      </w:pPr>
      <w:r>
        <w:rPr>
          <w:color w:val="1F2937"/>
          <w:sz w:val="22"/>
          <w:szCs w:val="22"/>
        </w:rPr>
        <w:t xml:space="preserve">This is a distinct use case inside Nest Bond. It sits alongside construction and development bonds, working capital bonds, equipment bonds, and real estate acquisition and stabilization bonds. Each use case has its own ingestion process, its own documents, its own bond product selection, its own amortization profile, its own reserves, its own covenant package, and its own organizational mirror. The cross-cutting bond mechanics — anatomy, players, universal documents, pricing concepts, rating mechanics, optionality — are covered in the existing Bond Bible (Pass 1) and are not re-explained here. This module focuses on what is different about M&amp;A acquisition bonds.</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M&amp;A ACQUISITION BOND THESIS — </w:t>
      </w:r>
      <w:r>
        <w:rPr>
          <w:color w:val="1F2937"/>
          <w:sz w:val="22"/>
          <w:szCs w:val="22"/>
        </w:rPr>
        <w:t xml:space="preserve">Most middle-market acquisitions today get done with bank syndicated debt or by accepting dilutive private equity. Both paths are structurally suboptimal for the acquirer. Bank syndicated debt locks the borrower into committee-compromise covenants and forces them to manage three or four bank relationships through the most operationally uncertain period of the deal lifecycle — integration. Dilutive PE forces the founder or strategic acquirer to surrender equity in a business they often understand better than the PE firm does. The bond solution gives the acquirer a single instrument, a single counterparty interface (the trustee), draw schedules and amortization patterns that match the post-integration cash flow profile rather than the pre-integration projection, and covenants set once in the indenture and never renegotiated by a rotating syndicate. The acquirer keeps equity. The platform integrates. The deal closes with the structure the deal actually needs, not the structure the lender can defend internally.</w:t>
      </w:r>
    </w:p>
    <w:p>
      <w:pPr>
        <w:pStyle w:val="Heading2"/>
        <w:spacing w:after="180" w:before="360"/>
      </w:pPr>
      <w:r>
        <w:rPr>
          <w:b/>
          <w:bCs/>
          <w:color w:val="0F4C81"/>
          <w:sz w:val="30"/>
          <w:szCs w:val="30"/>
        </w:rPr>
        <w:t xml:space="preserve">1. The Structural Problem Being Solved</w:t>
      </w:r>
    </w:p>
    <w:p>
      <w:pPr>
        <w:spacing w:after="140" w:line="320"/>
        <w:jc w:val="both"/>
      </w:pPr>
      <w:r>
        <w:rPr>
          <w:color w:val="1F2937"/>
          <w:sz w:val="22"/>
          <w:szCs w:val="22"/>
        </w:rPr>
        <w:t xml:space="preserve">Acquisition financing is the highest-stress moment in a corporate finance lifecycle and the conventional debt market handles it badly. The borrower is taking on substantial new leverage, integrating a target whose true operating profile won't be fully understood for six to eighteen months after close, and trying to execute on synergies that exist on paper but require real operational work to realize. During this entire window the borrower is carrying interest-only debt service from day one of close — meaning maximum cash flow pressure during the period of maximum operational uncertainty.</w:t>
      </w:r>
    </w:p>
    <w:p>
      <w:pPr>
        <w:spacing w:after="140" w:line="320"/>
        <w:jc w:val="both"/>
      </w:pPr>
      <w:r>
        <w:rPr>
          <w:color w:val="1F2937"/>
          <w:sz w:val="22"/>
          <w:szCs w:val="22"/>
        </w:rPr>
        <w:t xml:space="preserve">The conventional bank lending box makes this worse rather than better. Bank credit policy sets hard leverage gates at defined thresholds: under approximately 2.5x cash flow leverage, the bank lends directly; from approximately 2.5x to 3.5x, the loan must be syndicated; above approximately 3.5x to 4x, the loan may be syndicated but increasingly moves into direct lender territory; above approximately 4x, no bank will lend and the deal moves entirely to private credit. These gates are not credit decisions per deal — they are policy decisions set at the institutional level and applied to every transaction regardless of structure quality. Most middle-market acquisitions land above 3.5x leverage simply because that is what acquisition math looks like when the buyer is paying a market multiple for the target. Which means the bank's actual product offering for a substantial portion of middle-market acquirers is: 'we cannot lend to you; here is an introduction to private equity.' The bank becomes a broker.</w:t>
      </w:r>
    </w:p>
    <w:p>
      <w:pPr>
        <w:spacing w:after="140" w:line="320"/>
        <w:jc w:val="both"/>
      </w:pPr>
      <w:r>
        <w:rPr>
          <w:color w:val="1F2937"/>
          <w:sz w:val="22"/>
          <w:szCs w:val="22"/>
        </w:rPr>
        <w:t xml:space="preserve">Even when the bank does lend, the resulting structure is poor. The credit officer at the originating bank cannot carry the full exposure on their individual P&amp;L — their job is to maintain a profitable portfolio with appropriate risk concentration, and a single $100M-plus acquisition loan would overweight their book. So the loan gets syndicated to other banks who each take a piece, each with their own credit officer, each with their own committee, each with their own portfolio constraints. The covenant package that emerges from this multi-bank negotiation is the lowest common denominator that all credit officers will accept. The borrower lives under that covenant package for the life of the loan. When the borrower needs flexibility to address integration challenges that no one could have predicted at close, the borrower must negotiate with all the banks, each of which has its own internal approval process and its own institutional incentives.</w:t>
      </w:r>
    </w:p>
    <w:p>
      <w:pPr>
        <w:spacing w:after="140" w:line="320"/>
        <w:jc w:val="both"/>
      </w:pPr>
      <w:r>
        <w:rPr>
          <w:color w:val="1F2937"/>
          <w:sz w:val="22"/>
          <w:szCs w:val="22"/>
        </w:rPr>
        <w:t xml:space="preserve">And the originating banker — the relationship banker who brought the deal — is uncompensated for any of this. Investment banker fees flow to the M&amp;A advisory side. Commercial banker compensation flows from net interest margin on the loan portfolio, which is divided across the syndicate. The deal-team meetings that consume the originating banker's week — status calls, diligence coordination, document review, credit committee preparation — produce no incremental compensation. The work doesn't pay off, so the work doesn't get prioritized, so the deals that need creative structuring don't get it. Quality acquisition financing simply doesn't get delivered through the conventional bank channel for any meaningful portion of the middle market.</w:t>
      </w:r>
    </w:p>
    <w:p>
      <w:pPr>
        <w:spacing w:after="140" w:line="320"/>
        <w:jc w:val="both"/>
      </w:pPr>
      <w:r>
        <w:rPr>
          <w:color w:val="1F2937"/>
          <w:sz w:val="22"/>
          <w:szCs w:val="22"/>
        </w:rPr>
        <w:t xml:space="preserve">The bond market structurally solves these problems. Institutional bond investors are not running individual P&amp;Ls with banker-level exposure limits. They are running portfolios with mandates. A life insurance company that needs $40M of A-rated paper for portfolio duration management buys $40M of A-rated paper without caring that the deal is $300M in total — they take their slice. The deal is sold to five or six institutional investors who each take what fits their mandate, and there is no committee compromise on covenants because the covenants are set in the indenture once at issuance by the structurer (Nest) rather than negotiated across a club. The borrower has one counterparty interface — the trustee — for the life of the bond. Reserves and structural protections are designed at issuance to match the integration timeline rather than imposed externally by a credit committee that doesn't understand the operational profile.</w:t>
      </w:r>
    </w:p>
    <w:p>
      <w:pPr>
        <w:spacing w:after="140" w:line="320"/>
        <w:jc w:val="both"/>
      </w:pPr>
      <w:r>
        <w:rPr>
          <w:color w:val="1F2937"/>
          <w:sz w:val="22"/>
          <w:szCs w:val="22"/>
        </w:rPr>
        <w:t xml:space="preserve">For private equity sponsors and family offices specifically, the bond solution offers an additional structural advantage that no bank loan can match. PE firms and family offices typically have substantial deployable cash. That cash can be used to cash-collateralize a letter of credit from a major bank, which then wraps the bond. The resulting credit profile is essentially marketable-securities-backed — the bond is AAA-equivalent because the LC bank's obligation is itself fully cash-collateralized by the sponsor. Pricing tightens dramatically. The sponsor does not surrender equity. The sponsor's cash sits in a controlled escrow earning treasury rates while the bond services itself from the acquired company's cash flow. At platform exit, the LC is released and the cash returns to the sponsor along with the equity appreciation. The structure is so favorable that the question is not why anyone would use it; the question is why this is not the dominant acquisition financing structure in the middle market. The answer is that no one is offering it at the scale and execution quality it requires. Nest is the firm that offers it.</w:t>
      </w:r>
    </w:p>
    <w:p>
      <w:pPr>
        <w:pStyle w:val="Heading2"/>
        <w:spacing w:after="180" w:before="360"/>
      </w:pPr>
      <w:r>
        <w:rPr>
          <w:b/>
          <w:bCs/>
          <w:color w:val="0F4C81"/>
          <w:sz w:val="30"/>
          <w:szCs w:val="30"/>
        </w:rPr>
        <w:t xml:space="preserve">2. Glossary of M&amp;A Acquisition Bond Terms</w:t>
      </w:r>
    </w:p>
    <w:p>
      <w:pPr>
        <w:spacing w:after="140" w:line="320"/>
        <w:jc w:val="both"/>
      </w:pPr>
      <w:r>
        <w:rPr>
          <w:color w:val="1F2937"/>
          <w:sz w:val="22"/>
          <w:szCs w:val="22"/>
        </w:rPr>
        <w:t xml:space="preserve">This glossary covers the vocabulary specific to M&amp;A acquisition bonds. The universal bond vocabulary — par, coupon, maturity, DSCR, covenant, reserve — is in the existing Bond Bible glossary and is not repeated here. The terms below are the ones that show up in M&amp;A deals and rarely in other use cases.</w:t>
      </w:r>
    </w:p>
    <w:p>
      <w:pPr>
        <w:pStyle w:val="Heading3"/>
        <w:spacing w:after="120" w:before="240"/>
      </w:pPr>
      <w:r>
        <w:rPr>
          <w:b/>
          <w:bCs/>
          <w:color w:val="374151"/>
          <w:sz w:val="24"/>
          <w:szCs w:val="24"/>
        </w:rPr>
        <w:t xml:space="preserve">Buyer and Sponsor Terms</w:t>
      </w:r>
    </w:p>
    <w:p>
      <w:pPr>
        <w:spacing w:after="100" w:line="300"/>
        <w:ind w:left="200"/>
        <w:jc w:val="both"/>
      </w:pPr>
      <w:r>
        <w:rPr>
          <w:b/>
          <w:bCs/>
          <w:color w:val="B8860B"/>
          <w:sz w:val="22"/>
          <w:szCs w:val="22"/>
        </w:rPr>
        <w:t xml:space="preserve">Acquirer — </w:t>
      </w:r>
      <w:r>
        <w:rPr>
          <w:color w:val="1F2937"/>
          <w:sz w:val="22"/>
          <w:szCs w:val="22"/>
        </w:rPr>
        <w:t xml:space="preserve">The entity making the acquisition. For Nest M&amp;A bond purposes, the acquirer is the bond borrower — typically a private equity portfolio company, a family office acquisition vehicle, or a strategic operating company. The acquirer is the obligor on the bond.</w:t>
      </w:r>
    </w:p>
    <w:p>
      <w:pPr>
        <w:spacing w:after="100" w:line="300"/>
        <w:ind w:left="200"/>
        <w:jc w:val="both"/>
      </w:pPr>
      <w:r>
        <w:rPr>
          <w:b/>
          <w:bCs/>
          <w:color w:val="B8860B"/>
          <w:sz w:val="22"/>
          <w:szCs w:val="22"/>
        </w:rPr>
        <w:t xml:space="preserve">Sponsor — </w:t>
      </w:r>
      <w:r>
        <w:rPr>
          <w:color w:val="1F2937"/>
          <w:sz w:val="22"/>
          <w:szCs w:val="22"/>
        </w:rPr>
        <w:t xml:space="preserve">The private equity firm or family office that owns the acquirer (or that is the family office itself). The sponsor sits behind the acquirer in the capital structure. The sponsor's credit profile, cash deployment capacity, and track record materially affect the bond's pricing and structure.</w:t>
      </w:r>
    </w:p>
    <w:p>
      <w:pPr>
        <w:spacing w:after="100" w:line="300"/>
        <w:ind w:left="200"/>
        <w:jc w:val="both"/>
      </w:pPr>
      <w:r>
        <w:rPr>
          <w:b/>
          <w:bCs/>
          <w:color w:val="B8860B"/>
          <w:sz w:val="22"/>
          <w:szCs w:val="22"/>
        </w:rPr>
        <w:t xml:space="preserve">Financial Sponsor — </w:t>
      </w:r>
      <w:r>
        <w:rPr>
          <w:color w:val="1F2937"/>
          <w:sz w:val="22"/>
          <w:szCs w:val="22"/>
        </w:rPr>
        <w:t xml:space="preserve">A PE firm, family office, or other capital-deployment entity whose business model is acquiring, holding, and exiting operating companies. Distinguished from strategic acquirers, whose business model is operating companies in a specific industry and acquiring competitors or adjacent businesses.</w:t>
      </w:r>
    </w:p>
    <w:p>
      <w:pPr>
        <w:spacing w:after="100" w:line="300"/>
        <w:ind w:left="200"/>
        <w:jc w:val="both"/>
      </w:pPr>
      <w:r>
        <w:rPr>
          <w:b/>
          <w:bCs/>
          <w:color w:val="B8860B"/>
          <w:sz w:val="22"/>
          <w:szCs w:val="22"/>
        </w:rPr>
        <w:t xml:space="preserve">Strategic Acquirer — </w:t>
      </w:r>
      <w:r>
        <w:rPr>
          <w:color w:val="1F2937"/>
          <w:sz w:val="22"/>
          <w:szCs w:val="22"/>
        </w:rPr>
        <w:t xml:space="preserve">An operating company acquiring another operating company. The strategic acquirer is typically an industry incumbent acquiring a competitor (horizontal acquisition), a supplier (vertical integration backward), a customer (vertical integration forward), or an adjacent business (diversification or capability acquisition). Strategics typically pay higher multiples than financial sponsors because they can realize operational synergies that financial sponsors cannot.</w:t>
      </w:r>
    </w:p>
    <w:p>
      <w:pPr>
        <w:spacing w:after="100" w:line="300"/>
        <w:ind w:left="200"/>
        <w:jc w:val="both"/>
      </w:pPr>
      <w:r>
        <w:rPr>
          <w:b/>
          <w:bCs/>
          <w:color w:val="B8860B"/>
          <w:sz w:val="22"/>
          <w:szCs w:val="22"/>
        </w:rPr>
        <w:t xml:space="preserve">Platform Acquisition — </w:t>
      </w:r>
      <w:r>
        <w:rPr>
          <w:color w:val="1F2937"/>
          <w:sz w:val="22"/>
          <w:szCs w:val="22"/>
        </w:rPr>
        <w:t xml:space="preserve">The first acquisition a PE sponsor makes in a new investment thesis — establishes the base platform that subsequent add-on acquisitions are bolted onto.</w:t>
      </w:r>
    </w:p>
    <w:p>
      <w:pPr>
        <w:spacing w:after="100" w:line="300"/>
        <w:ind w:left="200"/>
        <w:jc w:val="both"/>
      </w:pPr>
      <w:r>
        <w:rPr>
          <w:b/>
          <w:bCs/>
          <w:color w:val="B8860B"/>
          <w:sz w:val="22"/>
          <w:szCs w:val="22"/>
        </w:rPr>
        <w:t xml:space="preserve">Add-On Acquisition (Bolt-On) — </w:t>
      </w:r>
      <w:r>
        <w:rPr>
          <w:color w:val="1F2937"/>
          <w:sz w:val="22"/>
          <w:szCs w:val="22"/>
        </w:rPr>
        <w:t xml:space="preserve">A subsequent acquisition made on top of an existing platform investment. The platform company acquires a smaller competitor or adjacent business and integrates it. Add-ons typically command lower multiples than platform acquisitions because the platform has the operational capability to integrate them quickly.</w:t>
      </w:r>
    </w:p>
    <w:p>
      <w:pPr>
        <w:spacing w:after="100" w:line="300"/>
        <w:ind w:left="200"/>
        <w:jc w:val="both"/>
      </w:pPr>
      <w:r>
        <w:rPr>
          <w:b/>
          <w:bCs/>
          <w:color w:val="B8860B"/>
          <w:sz w:val="22"/>
          <w:szCs w:val="22"/>
        </w:rPr>
        <w:t xml:space="preserve">Build-Up Strategy (Buy-and-Build) — </w:t>
      </w:r>
      <w:r>
        <w:rPr>
          <w:color w:val="1F2937"/>
          <w:sz w:val="22"/>
          <w:szCs w:val="22"/>
        </w:rPr>
        <w:t xml:space="preserve">A PE strategy in which the sponsor acquires a platform and then executes multiple add-on acquisitions over the hold period, building scale through M&amp;A rather than organic growth. Common in fragmented industries — HVAC services, dental practices, IT managed services, veterinary clinics, professional services.</w:t>
      </w:r>
    </w:p>
    <w:p>
      <w:pPr>
        <w:spacing w:after="100" w:line="300"/>
        <w:ind w:left="200"/>
        <w:jc w:val="both"/>
      </w:pPr>
      <w:r>
        <w:rPr>
          <w:b/>
          <w:bCs/>
          <w:color w:val="B8860B"/>
          <w:sz w:val="22"/>
          <w:szCs w:val="22"/>
        </w:rPr>
        <w:t xml:space="preserve">Rollup — </w:t>
      </w:r>
      <w:r>
        <w:rPr>
          <w:color w:val="1F2937"/>
          <w:sz w:val="22"/>
          <w:szCs w:val="22"/>
        </w:rPr>
        <w:t xml:space="preserve">An aggressive form of buy-and-build where the sponsor acquires many small competitors in rapid succession to create a regional or national platform. Faster-paced than traditional buy-and-build; higher integration risk; potentially higher returns if executed well.</w:t>
      </w:r>
    </w:p>
    <w:p>
      <w:pPr>
        <w:pStyle w:val="Heading3"/>
        <w:spacing w:after="120" w:before="240"/>
      </w:pPr>
      <w:r>
        <w:rPr>
          <w:b/>
          <w:bCs/>
          <w:color w:val="374151"/>
          <w:sz w:val="24"/>
          <w:szCs w:val="24"/>
        </w:rPr>
        <w:t xml:space="preserve">Valuation and Sizing Terms</w:t>
      </w:r>
    </w:p>
    <w:p>
      <w:pPr>
        <w:spacing w:after="100" w:line="300"/>
        <w:ind w:left="200"/>
        <w:jc w:val="both"/>
      </w:pPr>
      <w:r>
        <w:rPr>
          <w:b/>
          <w:bCs/>
          <w:color w:val="B8860B"/>
          <w:sz w:val="22"/>
          <w:szCs w:val="22"/>
        </w:rPr>
        <w:t xml:space="preserve">Enterprise Value (EV) — </w:t>
      </w:r>
      <w:r>
        <w:rPr>
          <w:color w:val="1F2937"/>
          <w:sz w:val="22"/>
          <w:szCs w:val="22"/>
        </w:rPr>
        <w:t xml:space="preserve">The total value of the operating business including both equity and debt. The enterprise value is what the acquirer is buying — the operating business as a whole, with the target's existing debt typically refinanced at close. EV equals equity value plus debt minus cash on the target's balance sheet (the net debt adjustment).</w:t>
      </w:r>
    </w:p>
    <w:p>
      <w:pPr>
        <w:spacing w:after="100" w:line="300"/>
        <w:ind w:left="200"/>
        <w:jc w:val="both"/>
      </w:pPr>
      <w:r>
        <w:rPr>
          <w:b/>
          <w:bCs/>
          <w:color w:val="B8860B"/>
          <w:sz w:val="22"/>
          <w:szCs w:val="22"/>
        </w:rPr>
        <w:t xml:space="preserve">Equity Value — </w:t>
      </w:r>
      <w:r>
        <w:rPr>
          <w:color w:val="1F2937"/>
          <w:sz w:val="22"/>
          <w:szCs w:val="22"/>
        </w:rPr>
        <w:t xml:space="preserve">The value of the target's equity. Equity value equals enterprise value minus debt plus cash. Equity value is what flows to the target's selling shareholders at close (minus any rollover equity, escrow holdbacks, and transaction expenses).</w:t>
      </w:r>
    </w:p>
    <w:p>
      <w:pPr>
        <w:spacing w:after="100" w:line="300"/>
        <w:ind w:left="200"/>
        <w:jc w:val="both"/>
      </w:pPr>
      <w:r>
        <w:rPr>
          <w:b/>
          <w:bCs/>
          <w:color w:val="B8860B"/>
          <w:sz w:val="22"/>
          <w:szCs w:val="22"/>
        </w:rPr>
        <w:t xml:space="preserve">Purchase Price — </w:t>
      </w:r>
      <w:r>
        <w:rPr>
          <w:color w:val="1F2937"/>
          <w:sz w:val="22"/>
          <w:szCs w:val="22"/>
        </w:rPr>
        <w:t xml:space="preserve">The total amount the acquirer pays for the target. May be expressed as enterprise value, equity value, or transaction value depending on context. The acquirer's bond sizing is based on enterprise value because the bond is funding the acquisition of the operating business, not just the equity.</w:t>
      </w:r>
    </w:p>
    <w:p>
      <w:pPr>
        <w:spacing w:after="100" w:line="300"/>
        <w:ind w:left="200"/>
        <w:jc w:val="both"/>
      </w:pPr>
      <w:r>
        <w:rPr>
          <w:b/>
          <w:bCs/>
          <w:color w:val="B8860B"/>
          <w:sz w:val="22"/>
          <w:szCs w:val="22"/>
        </w:rPr>
        <w:t xml:space="preserve">EBITDA — </w:t>
      </w:r>
      <w:r>
        <w:rPr>
          <w:color w:val="1F2937"/>
          <w:sz w:val="22"/>
          <w:szCs w:val="22"/>
        </w:rPr>
        <w:t xml:space="preserve">Earnings before interest, taxes, depreciation, and amortization. The standard metric for measuring an operating business's cash flow generation capacity. EBITDA is the denominator for most valuation multiples (EV/EBITDA) and the denominator for leverage ratios (Debt/EBITDA).</w:t>
      </w:r>
    </w:p>
    <w:p>
      <w:pPr>
        <w:spacing w:after="100" w:line="300"/>
        <w:ind w:left="200"/>
        <w:jc w:val="both"/>
      </w:pPr>
      <w:r>
        <w:rPr>
          <w:b/>
          <w:bCs/>
          <w:color w:val="B8860B"/>
          <w:sz w:val="22"/>
          <w:szCs w:val="22"/>
        </w:rPr>
        <w:t xml:space="preserve">Adjusted EBITDA — </w:t>
      </w:r>
      <w:r>
        <w:rPr>
          <w:color w:val="1F2937"/>
          <w:sz w:val="22"/>
          <w:szCs w:val="22"/>
        </w:rPr>
        <w:t xml:space="preserve">EBITDA with adjustments for non-recurring items, owner compensation normalizations, pro forma effects of acquisitions and divestitures, and other items that the acquirer or seller argues should be added back or subtracted to arrive at the business's true ongoing earning power. Adjustments are negotiated between buyer and seller and are a major source of valuation disputes.</w:t>
      </w:r>
    </w:p>
    <w:p>
      <w:pPr>
        <w:spacing w:after="100" w:line="300"/>
        <w:ind w:left="200"/>
        <w:jc w:val="both"/>
      </w:pPr>
      <w:r>
        <w:rPr>
          <w:b/>
          <w:bCs/>
          <w:color w:val="B8860B"/>
          <w:sz w:val="22"/>
          <w:szCs w:val="22"/>
        </w:rPr>
        <w:t xml:space="preserve">Run-Rate EBITDA — </w:t>
      </w:r>
      <w:r>
        <w:rPr>
          <w:color w:val="1F2937"/>
          <w:sz w:val="22"/>
          <w:szCs w:val="22"/>
        </w:rPr>
        <w:t xml:space="preserve">Adjusted EBITDA reflecting the business's expected forward earning power, often pro forma for recent operational changes (new contracts, completed expansions, eliminated cost centers). Used when the trailing twelve months do not represent the going-forward profile.</w:t>
      </w:r>
    </w:p>
    <w:p>
      <w:pPr>
        <w:spacing w:after="100" w:line="300"/>
        <w:ind w:left="200"/>
        <w:jc w:val="both"/>
      </w:pPr>
      <w:r>
        <w:rPr>
          <w:b/>
          <w:bCs/>
          <w:color w:val="B8860B"/>
          <w:sz w:val="22"/>
          <w:szCs w:val="22"/>
        </w:rPr>
        <w:t xml:space="preserve">Quality of Earnings (QofE) — </w:t>
      </w:r>
      <w:r>
        <w:rPr>
          <w:color w:val="1F2937"/>
          <w:sz w:val="22"/>
          <w:szCs w:val="22"/>
        </w:rPr>
        <w:t xml:space="preserve">An accounting analysis performed by a CPA firm to validate the target's reported EBITDA and identify adjustments. The QofE report is the diligence document that bond credit underwriting relies on to size the bond against actual earning capacity rather than reported numbers.</w:t>
      </w:r>
    </w:p>
    <w:p>
      <w:pPr>
        <w:spacing w:after="100" w:line="300"/>
        <w:ind w:left="200"/>
        <w:jc w:val="both"/>
      </w:pPr>
      <w:r>
        <w:rPr>
          <w:b/>
          <w:bCs/>
          <w:color w:val="B8860B"/>
          <w:sz w:val="22"/>
          <w:szCs w:val="22"/>
        </w:rPr>
        <w:t xml:space="preserve">EBITDA Multiple — </w:t>
      </w:r>
      <w:r>
        <w:rPr>
          <w:color w:val="1F2937"/>
          <w:sz w:val="22"/>
          <w:szCs w:val="22"/>
        </w:rPr>
        <w:t xml:space="preserve">The ratio of enterprise value to EBITDA — the standard valuation expression in M&amp;A. Stated as a number followed by an 'x.' A target trading at '8x EBITDA' is being acquired for an enterprise value equal to 8 times the target's adjusted EBITDA. Multiples vary by sector, business quality, growth rate, scale, and market conditions.</w:t>
      </w:r>
    </w:p>
    <w:p>
      <w:pPr>
        <w:spacing w:after="100" w:line="300"/>
        <w:ind w:left="200"/>
        <w:jc w:val="both"/>
      </w:pPr>
      <w:r>
        <w:rPr>
          <w:b/>
          <w:bCs/>
          <w:color w:val="B8860B"/>
          <w:sz w:val="22"/>
          <w:szCs w:val="22"/>
        </w:rPr>
        <w:t xml:space="preserve">Multiple Arbitrage — </w:t>
      </w:r>
      <w:r>
        <w:rPr>
          <w:color w:val="1F2937"/>
          <w:sz w:val="22"/>
          <w:szCs w:val="22"/>
        </w:rPr>
        <w:t xml:space="preserve">The PE strategy of acquiring smaller add-on companies at lower multiples than the platform's own multiple, thereby increasing the platform's blended EBITDA at a lower blended cost — and creating value at exit when the larger combined entity is sold at the platform multiple. Multiple arbitrage is one of the three primary PE value creation levers (along with operational improvement and leverage).</w:t>
      </w:r>
    </w:p>
    <w:p>
      <w:pPr>
        <w:spacing w:after="100" w:line="300"/>
        <w:ind w:left="200"/>
        <w:jc w:val="both"/>
      </w:pPr>
      <w:r>
        <w:rPr>
          <w:b/>
          <w:bCs/>
          <w:color w:val="B8860B"/>
          <w:sz w:val="22"/>
          <w:szCs w:val="22"/>
        </w:rPr>
        <w:t xml:space="preserve">Sector Multiple Range — </w:t>
      </w:r>
      <w:r>
        <w:rPr>
          <w:color w:val="1F2937"/>
          <w:sz w:val="22"/>
          <w:szCs w:val="22"/>
        </w:rPr>
        <w:t xml:space="preserve">The typical EBITDA multiple range for businesses in a specific sector. Examples (illustrative, not current market):</w:t>
      </w:r>
    </w:p>
    <w:p>
      <w:pPr>
        <w:pStyle w:val="ListParagraph"/>
        <w:numPr>
          <w:ilvl w:val="0"/>
          <w:numId w:val="2"/>
        </w:numPr>
        <w:spacing w:after="80" w:line="300"/>
      </w:pPr>
      <w:r>
        <w:rPr>
          <w:color w:val="1F2937"/>
          <w:sz w:val="22"/>
          <w:szCs w:val="22"/>
        </w:rPr>
        <w:t xml:space="preserve">Software/SaaS: 8-15x EBITDA (or 4-10x ARR for high-growth software)</w:t>
      </w:r>
    </w:p>
    <w:p>
      <w:pPr>
        <w:pStyle w:val="ListParagraph"/>
        <w:numPr>
          <w:ilvl w:val="0"/>
          <w:numId w:val="2"/>
        </w:numPr>
        <w:spacing w:after="80" w:line="300"/>
      </w:pPr>
      <w:r>
        <w:rPr>
          <w:color w:val="1F2937"/>
          <w:sz w:val="22"/>
          <w:szCs w:val="22"/>
        </w:rPr>
        <w:t xml:space="preserve">Healthcare services: 8-14x EBITDA</w:t>
      </w:r>
    </w:p>
    <w:p>
      <w:pPr>
        <w:pStyle w:val="ListParagraph"/>
        <w:numPr>
          <w:ilvl w:val="0"/>
          <w:numId w:val="2"/>
        </w:numPr>
        <w:spacing w:after="80" w:line="300"/>
      </w:pPr>
      <w:r>
        <w:rPr>
          <w:color w:val="1F2937"/>
          <w:sz w:val="22"/>
          <w:szCs w:val="22"/>
        </w:rPr>
        <w:t xml:space="preserve">Business services: 6-10x EBITDA</w:t>
      </w:r>
    </w:p>
    <w:p>
      <w:pPr>
        <w:pStyle w:val="ListParagraph"/>
        <w:numPr>
          <w:ilvl w:val="0"/>
          <w:numId w:val="2"/>
        </w:numPr>
        <w:spacing w:after="80" w:line="300"/>
      </w:pPr>
      <w:r>
        <w:rPr>
          <w:color w:val="1F2937"/>
          <w:sz w:val="22"/>
          <w:szCs w:val="22"/>
        </w:rPr>
        <w:t xml:space="preserve">Industrial manufacturing: 6-9x EBITDA</w:t>
      </w:r>
    </w:p>
    <w:p>
      <w:pPr>
        <w:pStyle w:val="ListParagraph"/>
        <w:numPr>
          <w:ilvl w:val="0"/>
          <w:numId w:val="2"/>
        </w:numPr>
        <w:spacing w:after="80" w:line="300"/>
      </w:pPr>
      <w:r>
        <w:rPr>
          <w:color w:val="1F2937"/>
          <w:sz w:val="22"/>
          <w:szCs w:val="22"/>
        </w:rPr>
        <w:t xml:space="preserve">Distribution: 6-8x EBITDA</w:t>
      </w:r>
    </w:p>
    <w:p>
      <w:pPr>
        <w:pStyle w:val="ListParagraph"/>
        <w:numPr>
          <w:ilvl w:val="0"/>
          <w:numId w:val="2"/>
        </w:numPr>
        <w:spacing w:after="80" w:line="300"/>
      </w:pPr>
      <w:r>
        <w:rPr>
          <w:color w:val="1F2937"/>
          <w:sz w:val="22"/>
          <w:szCs w:val="22"/>
        </w:rPr>
        <w:t xml:space="preserve">Consumer products: 8-12x EBITDA</w:t>
      </w:r>
    </w:p>
    <w:p>
      <w:pPr>
        <w:pStyle w:val="ListParagraph"/>
        <w:numPr>
          <w:ilvl w:val="0"/>
          <w:numId w:val="2"/>
        </w:numPr>
        <w:spacing w:after="80" w:line="300"/>
      </w:pPr>
      <w:r>
        <w:rPr>
          <w:color w:val="1F2937"/>
          <w:sz w:val="22"/>
          <w:szCs w:val="22"/>
        </w:rPr>
        <w:t xml:space="preserve">Trucking and logistics: 4-6x EBITDA</w:t>
      </w:r>
    </w:p>
    <w:p>
      <w:pPr>
        <w:pStyle w:val="ListParagraph"/>
        <w:numPr>
          <w:ilvl w:val="0"/>
          <w:numId w:val="2"/>
        </w:numPr>
        <w:spacing w:after="80" w:line="300"/>
      </w:pPr>
      <w:r>
        <w:rPr>
          <w:color w:val="1F2937"/>
          <w:sz w:val="22"/>
          <w:szCs w:val="22"/>
        </w:rPr>
        <w:t xml:space="preserve">Specialty contractors: 5-7x EBITDA</w:t>
      </w:r>
    </w:p>
    <w:p>
      <w:pPr>
        <w:pStyle w:val="ListParagraph"/>
        <w:numPr>
          <w:ilvl w:val="0"/>
          <w:numId w:val="2"/>
        </w:numPr>
        <w:spacing w:after="80" w:line="300"/>
      </w:pPr>
      <w:r>
        <w:rPr>
          <w:color w:val="1F2937"/>
          <w:sz w:val="22"/>
          <w:szCs w:val="22"/>
        </w:rPr>
        <w:t xml:space="preserve">Energy services: 4-7x EBITDA (highly cycle-dependent)</w:t>
      </w:r>
    </w:p>
    <w:p>
      <w:pPr>
        <w:pStyle w:val="ListParagraph"/>
        <w:numPr>
          <w:ilvl w:val="0"/>
          <w:numId w:val="2"/>
        </w:numPr>
        <w:spacing w:after="80" w:line="300"/>
      </w:pPr>
      <w:r>
        <w:rPr>
          <w:color w:val="1F2937"/>
          <w:sz w:val="22"/>
          <w:szCs w:val="22"/>
        </w:rPr>
        <w:t xml:space="preserve">Financial services: 8-12x EBITDA</w:t>
      </w:r>
    </w:p>
    <w:p>
      <w:pPr>
        <w:spacing w:after="100" w:line="300"/>
        <w:ind w:left="200"/>
        <w:jc w:val="both"/>
      </w:pPr>
      <w:r>
        <w:rPr>
          <w:b/>
          <w:bCs/>
          <w:color w:val="B8860B"/>
          <w:sz w:val="22"/>
          <w:szCs w:val="22"/>
        </w:rPr>
        <w:t xml:space="preserve">Multiple Expansion — </w:t>
      </w:r>
      <w:r>
        <w:rPr>
          <w:color w:val="1F2937"/>
          <w:sz w:val="22"/>
          <w:szCs w:val="22"/>
        </w:rPr>
        <w:t xml:space="preserve">The phenomenon where a platform's exit multiple is higher than its entry multiple, generating value separate from EBITDA growth or debt paydown. Expansion happens when the platform has grown in scale (larger businesses command higher multiples), improved in quality (higher-margin, more recurring revenue, less customer concentration), or entered better sectors (multiple expansion through repositioning).</w:t>
      </w:r>
    </w:p>
    <w:p>
      <w:pPr>
        <w:spacing w:after="100" w:line="300"/>
        <w:ind w:left="200"/>
        <w:jc w:val="both"/>
      </w:pPr>
      <w:r>
        <w:rPr>
          <w:b/>
          <w:bCs/>
          <w:color w:val="B8860B"/>
          <w:sz w:val="22"/>
          <w:szCs w:val="22"/>
        </w:rPr>
        <w:t xml:space="preserve">Multiple Compression — </w:t>
      </w:r>
      <w:r>
        <w:rPr>
          <w:color w:val="1F2937"/>
          <w:sz w:val="22"/>
          <w:szCs w:val="22"/>
        </w:rPr>
        <w:t xml:space="preserve">The opposite — a platform's exit multiple is lower than its entry multiple. Happens when sector multiples decline across the market, when the platform has lost scale or quality, or when the acquirer's exit options are constrained.</w:t>
      </w:r>
    </w:p>
    <w:p>
      <w:pPr>
        <w:pStyle w:val="Heading3"/>
        <w:spacing w:after="120" w:before="240"/>
      </w:pPr>
      <w:r>
        <w:rPr>
          <w:b/>
          <w:bCs/>
          <w:color w:val="374151"/>
          <w:sz w:val="24"/>
          <w:szCs w:val="24"/>
        </w:rPr>
        <w:t xml:space="preserve">Leverage and Capital Structure Terms</w:t>
      </w:r>
    </w:p>
    <w:p>
      <w:pPr>
        <w:spacing w:after="100" w:line="300"/>
        <w:ind w:left="200"/>
        <w:jc w:val="both"/>
      </w:pPr>
      <w:r>
        <w:rPr>
          <w:b/>
          <w:bCs/>
          <w:color w:val="B8860B"/>
          <w:sz w:val="22"/>
          <w:szCs w:val="22"/>
        </w:rPr>
        <w:t xml:space="preserve">Leverage Ratio (Debt/EBITDA) — </w:t>
      </w:r>
      <w:r>
        <w:rPr>
          <w:color w:val="1F2937"/>
          <w:sz w:val="22"/>
          <w:szCs w:val="22"/>
        </w:rPr>
        <w:t xml:space="preserve">Total debt divided by EBITDA. The standard expression of how leveraged an acquisition is. A '5x leveraged' acquisition has total debt equal to 5 times EBITDA. Bank syndicated debt typically caps at 3.5-4x; direct lenders go to 5-6x; bond markets at the right rating go to 6-8x for sponsor-backed credits.</w:t>
      </w:r>
    </w:p>
    <w:p>
      <w:pPr>
        <w:spacing w:after="100" w:line="300"/>
        <w:ind w:left="200"/>
        <w:jc w:val="both"/>
      </w:pPr>
      <w:r>
        <w:rPr>
          <w:b/>
          <w:bCs/>
          <w:color w:val="B8860B"/>
          <w:sz w:val="22"/>
          <w:szCs w:val="22"/>
        </w:rPr>
        <w:t xml:space="preserve">Senior Leverage — </w:t>
      </w:r>
      <w:r>
        <w:rPr>
          <w:color w:val="1F2937"/>
          <w:sz w:val="22"/>
          <w:szCs w:val="22"/>
        </w:rPr>
        <w:t xml:space="preserve">Debt-to-EBITDA at the senior tranche only, excluding subordinate or junior debt. A capital structure with 5x total leverage might have 3.5x senior leverage and 1.5x subordinate leverage.</w:t>
      </w:r>
    </w:p>
    <w:p>
      <w:pPr>
        <w:spacing w:after="100" w:line="300"/>
        <w:ind w:left="200"/>
        <w:jc w:val="both"/>
      </w:pPr>
      <w:r>
        <w:rPr>
          <w:b/>
          <w:bCs/>
          <w:color w:val="B8860B"/>
          <w:sz w:val="22"/>
          <w:szCs w:val="22"/>
        </w:rPr>
        <w:t xml:space="preserve">Total Leverage — </w:t>
      </w:r>
      <w:r>
        <w:rPr>
          <w:color w:val="1F2937"/>
          <w:sz w:val="22"/>
          <w:szCs w:val="22"/>
        </w:rPr>
        <w:t xml:space="preserve">Debt-to-EBITDA across all tranches of debt in the capital structure. Total leverage is the credit-relevant number from the bondholder perspective.</w:t>
      </w:r>
    </w:p>
    <w:p>
      <w:pPr>
        <w:spacing w:after="100" w:line="300"/>
        <w:ind w:left="200"/>
        <w:jc w:val="both"/>
      </w:pPr>
      <w:r>
        <w:rPr>
          <w:b/>
          <w:bCs/>
          <w:color w:val="B8860B"/>
          <w:sz w:val="22"/>
          <w:szCs w:val="22"/>
        </w:rPr>
        <w:t xml:space="preserve">Net Leverage — </w:t>
      </w:r>
      <w:r>
        <w:rPr>
          <w:color w:val="1F2937"/>
          <w:sz w:val="22"/>
          <w:szCs w:val="22"/>
        </w:rPr>
        <w:t xml:space="preserve">Debt-to-EBITDA after netting cash on the balance sheet. Net leverage is lower than gross leverage when the borrower has meaningful cash holdings.</w:t>
      </w:r>
    </w:p>
    <w:p>
      <w:pPr>
        <w:spacing w:after="100" w:line="300"/>
        <w:ind w:left="200"/>
        <w:jc w:val="both"/>
      </w:pPr>
      <w:r>
        <w:rPr>
          <w:b/>
          <w:bCs/>
          <w:color w:val="B8860B"/>
          <w:sz w:val="22"/>
          <w:szCs w:val="22"/>
        </w:rPr>
        <w:t xml:space="preserve">Pro Forma Leverage — </w:t>
      </w:r>
      <w:r>
        <w:rPr>
          <w:color w:val="1F2937"/>
          <w:sz w:val="22"/>
          <w:szCs w:val="22"/>
        </w:rPr>
        <w:t xml:space="preserve">Leverage calculated using pro forma EBITDA (run-rate or synergy-adjusted) rather than trailing EBITDA. Pro forma leverage is typically lower than trailing leverage because pro forma EBITDA is higher. Bond covenants typically test against trailing EBITDA, not pro forma, to prevent the borrower from leveraging up against synergies that have not yet been realized.</w:t>
      </w:r>
    </w:p>
    <w:p>
      <w:pPr>
        <w:spacing w:after="100" w:line="300"/>
        <w:ind w:left="200"/>
        <w:jc w:val="both"/>
      </w:pPr>
      <w:r>
        <w:rPr>
          <w:b/>
          <w:bCs/>
          <w:color w:val="B8860B"/>
          <w:sz w:val="22"/>
          <w:szCs w:val="22"/>
        </w:rPr>
        <w:t xml:space="preserve">Acquisition Multiple of EBITDA Financed by Debt — </w:t>
      </w:r>
      <w:r>
        <w:rPr>
          <w:color w:val="1F2937"/>
          <w:sz w:val="22"/>
          <w:szCs w:val="22"/>
        </w:rPr>
        <w:t xml:space="preserve">Stated as 'X turns of EBITDA' — the portion of the purchase price funded by debt expressed in turns of EBITDA. An 8x acquisition financed with 5 turns of debt means $5 of debt per $1 of EBITDA, with the remaining $3 per $1 of EBITDA funded by equity.</w:t>
      </w:r>
    </w:p>
    <w:p>
      <w:pPr>
        <w:spacing w:after="100" w:line="300"/>
        <w:ind w:left="200"/>
        <w:jc w:val="both"/>
      </w:pPr>
      <w:r>
        <w:rPr>
          <w:b/>
          <w:bCs/>
          <w:color w:val="B8860B"/>
          <w:sz w:val="22"/>
          <w:szCs w:val="22"/>
        </w:rPr>
        <w:t xml:space="preserve">Equity Check — </w:t>
      </w:r>
      <w:r>
        <w:rPr>
          <w:color w:val="1F2937"/>
          <w:sz w:val="22"/>
          <w:szCs w:val="22"/>
        </w:rPr>
        <w:t xml:space="preserve">The equity contribution from the sponsor to fund the acquisition. Calculated as enterprise value minus all debt financing. The equity check is what the sponsor's fund (in PE) or the family office's principal cash (in family office deals) actually writes a check for at close. Equity check sizing is the structural inverse of debt sizing — more debt means smaller equity check, all else equal.</w:t>
      </w:r>
    </w:p>
    <w:p>
      <w:pPr>
        <w:spacing w:after="100" w:line="300"/>
        <w:ind w:left="200"/>
        <w:jc w:val="both"/>
      </w:pPr>
      <w:r>
        <w:rPr>
          <w:b/>
          <w:bCs/>
          <w:color w:val="B8860B"/>
          <w:sz w:val="22"/>
          <w:szCs w:val="22"/>
        </w:rPr>
        <w:t xml:space="preserve">Rollover Equity — </w:t>
      </w:r>
      <w:r>
        <w:rPr>
          <w:color w:val="1F2937"/>
          <w:sz w:val="22"/>
          <w:szCs w:val="22"/>
        </w:rPr>
        <w:t xml:space="preserve">Equity contribution from the existing target shareholders (typically founders and management) who reinvest a portion of their sale proceeds into the post-close capital structure rather than cashing out entirely. Rollover equity reduces the sponsor's required equity check, aligns management with the platform's success, and signals seller confidence in the going-forward business.</w:t>
      </w:r>
    </w:p>
    <w:p>
      <w:pPr>
        <w:spacing w:after="100" w:line="300"/>
        <w:ind w:left="200"/>
        <w:jc w:val="both"/>
      </w:pPr>
      <w:r>
        <w:rPr>
          <w:b/>
          <w:bCs/>
          <w:color w:val="B8860B"/>
          <w:sz w:val="22"/>
          <w:szCs w:val="22"/>
        </w:rPr>
        <w:t xml:space="preserve">Co-Investment — </w:t>
      </w:r>
      <w:r>
        <w:rPr>
          <w:color w:val="1F2937"/>
          <w:sz w:val="22"/>
          <w:szCs w:val="22"/>
        </w:rPr>
        <w:t xml:space="preserve">Equity contributed by parties other than the lead sponsor — typically the sponsor's LPs investing directly into the deal alongside the fund, or strategic partners participating in a minority equity position. Co-investment reduces the lead sponsor's required equity check.</w:t>
      </w:r>
    </w:p>
    <w:p>
      <w:pPr>
        <w:spacing w:after="100" w:line="300"/>
        <w:ind w:left="200"/>
        <w:jc w:val="both"/>
      </w:pPr>
      <w:r>
        <w:rPr>
          <w:b/>
          <w:bCs/>
          <w:color w:val="B8860B"/>
          <w:sz w:val="22"/>
          <w:szCs w:val="22"/>
        </w:rPr>
        <w:t xml:space="preserve">Junior Capital — </w:t>
      </w:r>
      <w:r>
        <w:rPr>
          <w:color w:val="1F2937"/>
          <w:sz w:val="22"/>
          <w:szCs w:val="22"/>
        </w:rPr>
        <w:t xml:space="preserve">Debt or quasi-debt that sits below senior debt in the capital structure. Includes mezzanine debt, second lien debt, preferred equity, and seller financing. Junior capital is more expensive than senior debt but cheaper than common equity, used to bridge the gap between what senior debt can support and the total purchase price.</w:t>
      </w:r>
    </w:p>
    <w:p>
      <w:pPr>
        <w:spacing w:after="100" w:line="300"/>
        <w:ind w:left="200"/>
        <w:jc w:val="both"/>
      </w:pPr>
      <w:r>
        <w:rPr>
          <w:b/>
          <w:bCs/>
          <w:color w:val="B8860B"/>
          <w:sz w:val="22"/>
          <w:szCs w:val="22"/>
        </w:rPr>
        <w:t xml:space="preserve">Mezzanine Debt — </w:t>
      </w:r>
      <w:r>
        <w:rPr>
          <w:color w:val="1F2937"/>
          <w:sz w:val="22"/>
          <w:szCs w:val="22"/>
        </w:rPr>
        <w:t xml:space="preserve">Junior unsecured debt that typically carries a higher coupon than senior debt plus equity warrants or PIK toggle features. Mezzanine fills the gap between senior debt and equity in the capital stack.</w:t>
      </w:r>
    </w:p>
    <w:p>
      <w:pPr>
        <w:spacing w:after="100" w:line="300"/>
        <w:ind w:left="200"/>
        <w:jc w:val="both"/>
      </w:pPr>
      <w:r>
        <w:rPr>
          <w:b/>
          <w:bCs/>
          <w:color w:val="B8860B"/>
          <w:sz w:val="22"/>
          <w:szCs w:val="22"/>
        </w:rPr>
        <w:t xml:space="preserve">Second Lien Debt — </w:t>
      </w:r>
      <w:r>
        <w:rPr>
          <w:color w:val="1F2937"/>
          <w:sz w:val="22"/>
          <w:szCs w:val="22"/>
        </w:rPr>
        <w:t xml:space="preserve">Junior secured debt that has a second-priority claim on the same collateral as the senior debt. Second lien is more expensive than senior but cheaper than mezzanine because of the collateral position.</w:t>
      </w:r>
    </w:p>
    <w:p>
      <w:pPr>
        <w:spacing w:after="100" w:line="300"/>
        <w:ind w:left="200"/>
        <w:jc w:val="both"/>
      </w:pPr>
      <w:r>
        <w:rPr>
          <w:b/>
          <w:bCs/>
          <w:color w:val="B8860B"/>
          <w:sz w:val="22"/>
          <w:szCs w:val="22"/>
        </w:rPr>
        <w:t xml:space="preserve">Seller Financing (Seller Note) — </w:t>
      </w:r>
      <w:r>
        <w:rPr>
          <w:color w:val="1F2937"/>
          <w:sz w:val="22"/>
          <w:szCs w:val="22"/>
        </w:rPr>
        <w:t xml:space="preserve">Debt instrument issued by the acquirer to the target's selling shareholders as part of the purchase price. The seller takes a note payable from the buyer instead of cash for a portion of the proceeds. Seller financing typically subordinates to senior debt and is structured with a defined repayment schedule over 3-7 years. Common in smaller transactions where the seller is motivated to defer some tax recognition or where the buyer is constrained on third-party debt capacity.</w:t>
      </w:r>
    </w:p>
    <w:p>
      <w:pPr>
        <w:spacing w:after="100" w:line="300"/>
        <w:ind w:left="200"/>
        <w:jc w:val="both"/>
      </w:pPr>
      <w:r>
        <w:rPr>
          <w:b/>
          <w:bCs/>
          <w:color w:val="B8860B"/>
          <w:sz w:val="22"/>
          <w:szCs w:val="22"/>
        </w:rPr>
        <w:t xml:space="preserve">Earnout — </w:t>
      </w:r>
      <w:r>
        <w:rPr>
          <w:color w:val="1F2937"/>
          <w:sz w:val="22"/>
          <w:szCs w:val="22"/>
        </w:rPr>
        <w:t xml:space="preserve">A contingent component of the purchase price paid only if the target achieves defined operating milestones post-close (typically EBITDA targets, revenue targets, or specific contract closings). Earnouts bridge valuation gaps when buyer and seller disagree on the target's forward earning power. From a bond perspective, earnouts are contingent obligations that the indenture must address — typically as restricted payments that can be made only if defined coverage tests are satisfied.</w:t>
      </w:r>
    </w:p>
    <w:p>
      <w:pPr>
        <w:spacing w:after="100" w:line="300"/>
        <w:ind w:left="200"/>
        <w:jc w:val="both"/>
      </w:pPr>
      <w:r>
        <w:rPr>
          <w:b/>
          <w:bCs/>
          <w:color w:val="B8860B"/>
          <w:sz w:val="22"/>
          <w:szCs w:val="22"/>
        </w:rPr>
        <w:t xml:space="preserve">Working Capital Adjustment — </w:t>
      </w:r>
      <w:r>
        <w:rPr>
          <w:color w:val="1F2937"/>
          <w:sz w:val="22"/>
          <w:szCs w:val="22"/>
        </w:rPr>
        <w:t xml:space="preserve">The post-closing true-up of the purchase price based on the actual working capital level at close versus a pre-agreed target. Sellers and buyers negotiate a target working capital level pre-close; at close, actual working capital is measured, and the purchase price adjusts up (if actual exceeds target) or down (if actual falls short). The bond's funding mechanics must accommodate working capital adjustments.</w:t>
      </w:r>
    </w:p>
    <w:p>
      <w:pPr>
        <w:spacing w:after="100" w:line="300"/>
        <w:ind w:left="200"/>
        <w:jc w:val="both"/>
      </w:pPr>
      <w:r>
        <w:rPr>
          <w:b/>
          <w:bCs/>
          <w:color w:val="B8860B"/>
          <w:sz w:val="22"/>
          <w:szCs w:val="22"/>
        </w:rPr>
        <w:t xml:space="preserve">Net Debt at Close — </w:t>
      </w:r>
      <w:r>
        <w:rPr>
          <w:color w:val="1F2937"/>
          <w:sz w:val="22"/>
          <w:szCs w:val="22"/>
        </w:rPr>
        <w:t xml:space="preserve">The target's debt obligations net of cash at the moment of close. The bond proceeds typically refinance target debt at close, meaning the bond is sized to cover both the equity purchase price paid to selling shareholders and the target's outstanding debt that must be repaid. Net debt at close is therefore a major input to bond sizing.</w:t>
      </w:r>
    </w:p>
    <w:p>
      <w:pPr>
        <w:pStyle w:val="Heading3"/>
        <w:spacing w:after="120" w:before="240"/>
      </w:pPr>
      <w:r>
        <w:rPr>
          <w:b/>
          <w:bCs/>
          <w:color w:val="374151"/>
          <w:sz w:val="24"/>
          <w:szCs w:val="24"/>
        </w:rPr>
        <w:t xml:space="preserve">Process and Diligence Terms</w:t>
      </w:r>
    </w:p>
    <w:p>
      <w:pPr>
        <w:spacing w:after="100" w:line="300"/>
        <w:ind w:left="200"/>
        <w:jc w:val="both"/>
      </w:pPr>
      <w:r>
        <w:rPr>
          <w:b/>
          <w:bCs/>
          <w:color w:val="B8860B"/>
          <w:sz w:val="22"/>
          <w:szCs w:val="22"/>
        </w:rPr>
        <w:t xml:space="preserve">Letter of Intent (LOI) — </w:t>
      </w:r>
      <w:r>
        <w:rPr>
          <w:color w:val="1F2937"/>
          <w:sz w:val="22"/>
          <w:szCs w:val="22"/>
        </w:rPr>
        <w:t xml:space="preserve">A non-binding (or partially binding) document signed by buyer and seller establishing the basic deal terms — purchase price, structure, exclusivity period, key conditions. The LOI starts the formal diligence period. The bond commitment letter is typically issued in parallel with or shortly after the LOI signing, providing the buyer with financing confidence to invest in diligence.</w:t>
      </w:r>
    </w:p>
    <w:p>
      <w:pPr>
        <w:spacing w:after="100" w:line="300"/>
        <w:ind w:left="200"/>
        <w:jc w:val="both"/>
      </w:pPr>
      <w:r>
        <w:rPr>
          <w:b/>
          <w:bCs/>
          <w:color w:val="B8860B"/>
          <w:sz w:val="22"/>
          <w:szCs w:val="22"/>
        </w:rPr>
        <w:t xml:space="preserve">Exclusivity Period — </w:t>
      </w:r>
      <w:r>
        <w:rPr>
          <w:color w:val="1F2937"/>
          <w:sz w:val="22"/>
          <w:szCs w:val="22"/>
        </w:rPr>
        <w:t xml:space="preserve">The period defined in the LOI during which the seller agrees not to negotiate with other potential buyers. Typical exclusivity is 30-90 days. The exclusivity period covers buyer diligence, definitive agreement negotiation, financing finalization, and closing preparation. Exclusivity ends when the deal closes or when the exclusivity period expires (in which case the seller can re-shop).</w:t>
      </w:r>
    </w:p>
    <w:p>
      <w:pPr>
        <w:spacing w:after="100" w:line="300"/>
        <w:ind w:left="200"/>
        <w:jc w:val="both"/>
      </w:pPr>
      <w:r>
        <w:rPr>
          <w:b/>
          <w:bCs/>
          <w:color w:val="B8860B"/>
          <w:sz w:val="22"/>
          <w:szCs w:val="22"/>
        </w:rPr>
        <w:t xml:space="preserve">Definitive Agreement (also Purchase Agreement) — </w:t>
      </w:r>
      <w:r>
        <w:rPr>
          <w:color w:val="1F2937"/>
          <w:sz w:val="22"/>
          <w:szCs w:val="22"/>
        </w:rPr>
        <w:t xml:space="preserve">The binding contract between buyer and seller documenting the full transaction terms. Typically called a Stock Purchase Agreement (SPA) when the buyer is acquiring stock, an Asset Purchase Agreement (APA) when acquiring specific assets, or a Merger Agreement when the structure is a statutory merger. The definitive agreement is signed at the end of diligence and contains the closing conditions that must be satisfied before close.</w:t>
      </w:r>
    </w:p>
    <w:p>
      <w:pPr>
        <w:spacing w:after="100" w:line="300"/>
        <w:ind w:left="200"/>
        <w:jc w:val="both"/>
      </w:pPr>
      <w:r>
        <w:rPr>
          <w:b/>
          <w:bCs/>
          <w:color w:val="B8860B"/>
          <w:sz w:val="22"/>
          <w:szCs w:val="22"/>
        </w:rPr>
        <w:t xml:space="preserve">Closing Conditions — </w:t>
      </w:r>
      <w:r>
        <w:rPr>
          <w:color w:val="1F2937"/>
          <w:sz w:val="22"/>
          <w:szCs w:val="22"/>
        </w:rPr>
        <w:t xml:space="preserve">Conditions in the definitive agreement that must be satisfied before the buyer is obligated to close. Typical conditions: regulatory approvals (HSR antitrust filing, sector-specific regulatory approvals), no material adverse change (MAC), accuracy of reps and warranties, completion of financing (the financing-out condition), third-party consents (key customer or supplier contracts), and any deal-specific conditions.</w:t>
      </w:r>
    </w:p>
    <w:p>
      <w:pPr>
        <w:spacing w:after="100" w:line="300"/>
        <w:ind w:left="200"/>
        <w:jc w:val="both"/>
      </w:pPr>
      <w:r>
        <w:rPr>
          <w:b/>
          <w:bCs/>
          <w:color w:val="B8860B"/>
          <w:sz w:val="22"/>
          <w:szCs w:val="22"/>
        </w:rPr>
        <w:t xml:space="preserve">Material Adverse Change (MAC) — </w:t>
      </w:r>
      <w:r>
        <w:rPr>
          <w:color w:val="1F2937"/>
          <w:sz w:val="22"/>
          <w:szCs w:val="22"/>
        </w:rPr>
        <w:t xml:space="preserve">A defined event constituting a material negative change in the target's business, financial condition, or prospects between signing and close. If a MAC occurs, the buyer typically has the right to walk from the deal without penalty. MAC definitions are heavily negotiated.</w:t>
      </w:r>
    </w:p>
    <w:p>
      <w:pPr>
        <w:spacing w:after="100" w:line="300"/>
        <w:ind w:left="200"/>
        <w:jc w:val="both"/>
      </w:pPr>
      <w:r>
        <w:rPr>
          <w:b/>
          <w:bCs/>
          <w:color w:val="B8860B"/>
          <w:sz w:val="22"/>
          <w:szCs w:val="22"/>
        </w:rPr>
        <w:t xml:space="preserve">Reps and Warranties (R&amp;W) — </w:t>
      </w:r>
      <w:r>
        <w:rPr>
          <w:color w:val="1F2937"/>
          <w:sz w:val="22"/>
          <w:szCs w:val="22"/>
        </w:rPr>
        <w:t xml:space="preserve">Statements by the seller about the target — its financial condition, its compliance with laws, its operations, its assets, its liabilities, its contracts. The reps and warranties survive close (subject to negotiated survival periods) and breach gives the buyer a claim for indemnification.</w:t>
      </w:r>
    </w:p>
    <w:p>
      <w:pPr>
        <w:spacing w:after="100" w:line="300"/>
        <w:ind w:left="200"/>
        <w:jc w:val="both"/>
      </w:pPr>
      <w:r>
        <w:rPr>
          <w:b/>
          <w:bCs/>
          <w:color w:val="B8860B"/>
          <w:sz w:val="22"/>
          <w:szCs w:val="22"/>
        </w:rPr>
        <w:t xml:space="preserve">R&amp;W Insurance (RWI) — </w:t>
      </w:r>
      <w:r>
        <w:rPr>
          <w:color w:val="1F2937"/>
          <w:sz w:val="22"/>
          <w:szCs w:val="22"/>
        </w:rPr>
        <w:t xml:space="preserve">Insurance policy that backstops the seller's reps and warranties. RWI has become standard in middle-market PE deals — the buyer takes out a policy that pays the buyer for breaches of reps and warranties, eliminating the need for large escrow holdbacks from the seller. RWI premium is typically 2-4% of policy limit.</w:t>
      </w:r>
    </w:p>
    <w:p>
      <w:pPr>
        <w:spacing w:after="100" w:line="300"/>
        <w:ind w:left="200"/>
        <w:jc w:val="both"/>
      </w:pPr>
      <w:r>
        <w:rPr>
          <w:b/>
          <w:bCs/>
          <w:color w:val="B8860B"/>
          <w:sz w:val="22"/>
          <w:szCs w:val="22"/>
        </w:rPr>
        <w:t xml:space="preserve">Diligence Streams — </w:t>
      </w:r>
      <w:r>
        <w:rPr>
          <w:color w:val="1F2937"/>
          <w:sz w:val="22"/>
          <w:szCs w:val="22"/>
        </w:rPr>
        <w:t xml:space="preserve">The parallel workstreams that run during the LOI-to-close period. Financial diligence (QofE), legal diligence (contracts, litigation, IP, corporate matters), tax diligence, environmental diligence (where applicable), commercial diligence (market, customers, competitors, pricing), HR diligence (key employee retention, compensation, benefits), IT and cyber diligence, regulatory diligence. Each stream produces a diligence report; coordination of streams is the M&amp;A advisor's job.</w:t>
      </w:r>
    </w:p>
    <w:p>
      <w:pPr>
        <w:spacing w:after="100" w:line="300"/>
        <w:ind w:left="200"/>
        <w:jc w:val="both"/>
      </w:pPr>
      <w:r>
        <w:rPr>
          <w:b/>
          <w:bCs/>
          <w:color w:val="B8860B"/>
          <w:sz w:val="22"/>
          <w:szCs w:val="22"/>
        </w:rPr>
        <w:t xml:space="preserve">Virtual Data Room (VDR) — </w:t>
      </w:r>
      <w:r>
        <w:rPr>
          <w:color w:val="1F2937"/>
          <w:sz w:val="22"/>
          <w:szCs w:val="22"/>
        </w:rPr>
        <w:t xml:space="preserve">The online repository where the seller posts target documents for buyer diligence. VDRs are operated by specialized vendors (Intralinks, Datasite, Firmex, Box). The buyer's diligence team reviews VDR documents and submits questions; the seller answers through the VDR's Q&amp;A function. VDR activity logs reveal which documents are reviewed and by whom.</w:t>
      </w:r>
    </w:p>
    <w:p>
      <w:pPr>
        <w:spacing w:after="100" w:line="300"/>
        <w:ind w:left="200"/>
        <w:jc w:val="both"/>
      </w:pPr>
      <w:r>
        <w:rPr>
          <w:b/>
          <w:bCs/>
          <w:color w:val="B8860B"/>
          <w:sz w:val="22"/>
          <w:szCs w:val="22"/>
        </w:rPr>
        <w:t xml:space="preserve">Confirmatory Diligence — </w:t>
      </w:r>
      <w:r>
        <w:rPr>
          <w:color w:val="1F2937"/>
          <w:sz w:val="22"/>
          <w:szCs w:val="22"/>
        </w:rPr>
        <w:t xml:space="preserve">The final diligence pass that runs between definitive agreement signing and close. Confirms that no MAC has occurred, that closing conditions are being satisfied, and that any open diligence items have been resolved.</w:t>
      </w:r>
    </w:p>
    <w:p>
      <w:pPr>
        <w:spacing w:after="100" w:line="300"/>
        <w:ind w:left="200"/>
        <w:jc w:val="both"/>
      </w:pPr>
      <w:r>
        <w:rPr>
          <w:b/>
          <w:bCs/>
          <w:color w:val="B8860B"/>
          <w:sz w:val="22"/>
          <w:szCs w:val="22"/>
        </w:rPr>
        <w:t xml:space="preserve">Commitment Letter — </w:t>
      </w:r>
      <w:r>
        <w:rPr>
          <w:color w:val="1F2937"/>
          <w:sz w:val="22"/>
          <w:szCs w:val="22"/>
        </w:rPr>
        <w:t xml:space="preserve">The bond financing commitment from Nest (and the BD partner) to the acquirer. Issued at or shortly after LOI signing. Commits to provide bond financing on defined terms subject to defined conditions. The commitment letter is the financing-out condition in the definitive agreement — the buyer can walk if Nest does not deliver the financing.</w:t>
      </w:r>
    </w:p>
    <w:p>
      <w:pPr>
        <w:spacing w:after="100" w:line="300"/>
        <w:ind w:left="200"/>
        <w:jc w:val="both"/>
      </w:pPr>
      <w:r>
        <w:rPr>
          <w:b/>
          <w:bCs/>
          <w:color w:val="B8860B"/>
          <w:sz w:val="22"/>
          <w:szCs w:val="22"/>
        </w:rPr>
        <w:t xml:space="preserve">Highly Confident Letter — </w:t>
      </w:r>
      <w:r>
        <w:rPr>
          <w:color w:val="1F2937"/>
          <w:sz w:val="22"/>
          <w:szCs w:val="22"/>
        </w:rPr>
        <w:t xml:space="preserve">A weaker form of commitment than a commitment letter — Nest expresses 'high confidence' that bond financing will be available on defined terms but does not legally commit. Used in early diligence when full underwriting has not yet been completed.</w:t>
      </w:r>
    </w:p>
    <w:p>
      <w:pPr>
        <w:spacing w:after="100" w:line="300"/>
        <w:ind w:left="200"/>
        <w:jc w:val="both"/>
      </w:pPr>
      <w:r>
        <w:rPr>
          <w:b/>
          <w:bCs/>
          <w:color w:val="B8860B"/>
          <w:sz w:val="22"/>
          <w:szCs w:val="22"/>
        </w:rPr>
        <w:t xml:space="preserve">Funded At Close vs Delayed Draw — </w:t>
      </w:r>
      <w:r>
        <w:rPr>
          <w:color w:val="1F2937"/>
          <w:sz w:val="22"/>
          <w:szCs w:val="22"/>
        </w:rPr>
        <w:t xml:space="preserve">Two structural options for bond proceeds delivery. Funded-at-close means all bond proceeds are delivered to the acquirer at close. Delayed draw means the bond is committed but proceeds are not delivered until specified post-close events (add-on acquisitions, capex completion). Delayed draw is structurally important for buy-and-build strategies where the acquirer needs financing capacity beyond the initial platform acquisition.</w:t>
      </w:r>
    </w:p>
    <w:p>
      <w:pPr>
        <w:spacing w:after="100" w:line="300"/>
        <w:ind w:left="200"/>
        <w:jc w:val="both"/>
      </w:pPr>
      <w:r>
        <w:rPr>
          <w:b/>
          <w:bCs/>
          <w:color w:val="B8860B"/>
          <w:sz w:val="22"/>
          <w:szCs w:val="22"/>
        </w:rPr>
        <w:t xml:space="preserve">Escrow — </w:t>
      </w:r>
      <w:r>
        <w:rPr>
          <w:color w:val="1F2937"/>
          <w:sz w:val="22"/>
          <w:szCs w:val="22"/>
        </w:rPr>
        <w:t xml:space="preserve">Funds held by a third party (typically the trustee or a separate escrow agent) pending satisfaction of conditions. In M&amp;A bond transactions, common escrows include: closing escrow (purchase price held pending close), indemnity escrow (portion of seller proceeds held to backstop rep and warranty claims), and working capital escrow (held pending final working capital true-up).</w:t>
      </w:r>
    </w:p>
    <w:p>
      <w:pPr>
        <w:pStyle w:val="Heading3"/>
        <w:spacing w:after="120" w:before="240"/>
      </w:pPr>
      <w:r>
        <w:rPr>
          <w:b/>
          <w:bCs/>
          <w:color w:val="374151"/>
          <w:sz w:val="24"/>
          <w:szCs w:val="24"/>
        </w:rPr>
        <w:t xml:space="preserve">Return and Exit Terms</w:t>
      </w:r>
    </w:p>
    <w:p>
      <w:pPr>
        <w:spacing w:after="100" w:line="300"/>
        <w:ind w:left="200"/>
        <w:jc w:val="both"/>
      </w:pPr>
      <w:r>
        <w:rPr>
          <w:b/>
          <w:bCs/>
          <w:color w:val="B8860B"/>
          <w:sz w:val="22"/>
          <w:szCs w:val="22"/>
        </w:rPr>
        <w:t xml:space="preserve">MOIC (Multiple on Invested Capital) — </w:t>
      </w:r>
      <w:r>
        <w:rPr>
          <w:color w:val="1F2937"/>
          <w:sz w:val="22"/>
          <w:szCs w:val="22"/>
        </w:rPr>
        <w:t xml:space="preserve">The total cash returned to the sponsor on exit divided by the sponsor's equity check. A 3x MOIC means the sponsor's $40M equity check returned $120M at exit. The standard PE return measure alongside IRR.</w:t>
      </w:r>
    </w:p>
    <w:p>
      <w:pPr>
        <w:spacing w:after="100" w:line="300"/>
        <w:ind w:left="200"/>
        <w:jc w:val="both"/>
      </w:pPr>
      <w:r>
        <w:rPr>
          <w:b/>
          <w:bCs/>
          <w:color w:val="B8860B"/>
          <w:sz w:val="22"/>
          <w:szCs w:val="22"/>
        </w:rPr>
        <w:t xml:space="preserve">IRR (Internal Rate of Return) — </w:t>
      </w:r>
      <w:r>
        <w:rPr>
          <w:color w:val="1F2937"/>
          <w:sz w:val="22"/>
          <w:szCs w:val="22"/>
        </w:rPr>
        <w:t xml:space="preserve">The annualized rate of return on the sponsor's equity check, accounting for the holding period. PE funds typically target gross IRRs of 20-25%+ at the deal level.</w:t>
      </w:r>
    </w:p>
    <w:p>
      <w:pPr>
        <w:spacing w:after="100" w:line="300"/>
        <w:ind w:left="200"/>
        <w:jc w:val="both"/>
      </w:pPr>
      <w:r>
        <w:rPr>
          <w:b/>
          <w:bCs/>
          <w:color w:val="B8860B"/>
          <w:sz w:val="22"/>
          <w:szCs w:val="22"/>
        </w:rPr>
        <w:t xml:space="preserve">Hold Period — </w:t>
      </w:r>
      <w:r>
        <w:rPr>
          <w:color w:val="1F2937"/>
          <w:sz w:val="22"/>
          <w:szCs w:val="22"/>
        </w:rPr>
        <w:t xml:space="preserve">The duration the sponsor holds the platform from acquisition to exit. PE funds typically target hold periods of 4-7 years. Family offices may hold longer (10-20+ years) because they are not constrained by fund life. Strategic acquirers hold indefinitely.</w:t>
      </w:r>
    </w:p>
    <w:p>
      <w:pPr>
        <w:spacing w:after="100" w:line="300"/>
        <w:ind w:left="200"/>
        <w:jc w:val="both"/>
      </w:pPr>
      <w:r>
        <w:rPr>
          <w:b/>
          <w:bCs/>
          <w:color w:val="B8860B"/>
          <w:sz w:val="22"/>
          <w:szCs w:val="22"/>
        </w:rPr>
        <w:t xml:space="preserve">Exit Mechanism — </w:t>
      </w:r>
      <w:r>
        <w:rPr>
          <w:color w:val="1F2937"/>
          <w:sz w:val="22"/>
          <w:szCs w:val="22"/>
        </w:rPr>
        <w:t xml:space="preserve">How the sponsor monetizes the platform. Options include: sale to a strategic acquirer (typically the highest-multiple exit), sale to another financial sponsor (secondary buyout, common in larger middle-market deals), IPO (rare in middle-market sizes, more common at $1B+ enterprise values), recapitalization (sponsor takes cash out through a dividend recapitalization while retaining ownership), and continuation fund (sponsor's existing fund rolls the platform to a new fund, providing liquidity to LPs while retaining the asset).</w:t>
      </w:r>
    </w:p>
    <w:p>
      <w:pPr>
        <w:spacing w:after="100" w:line="300"/>
        <w:ind w:left="200"/>
        <w:jc w:val="both"/>
      </w:pPr>
      <w:r>
        <w:rPr>
          <w:b/>
          <w:bCs/>
          <w:color w:val="B8860B"/>
          <w:sz w:val="22"/>
          <w:szCs w:val="22"/>
        </w:rPr>
        <w:t xml:space="preserve">Dividend Recapitalization (Recap) — </w:t>
      </w:r>
      <w:r>
        <w:rPr>
          <w:color w:val="1F2937"/>
          <w:sz w:val="22"/>
          <w:szCs w:val="22"/>
        </w:rPr>
        <w:t xml:space="preserve">A transaction in which the platform takes on additional debt and uses the proceeds to pay a dividend to the equity owners — typically the PE sponsor. Recaps return capital to the sponsor before exit and reset the platform's leverage. For Nest, recap transactions are bond opportunities — the recap can be funded through bond issuance.</w:t>
      </w:r>
    </w:p>
    <w:p>
      <w:pPr>
        <w:spacing w:after="100" w:line="300"/>
        <w:ind w:left="200"/>
        <w:jc w:val="both"/>
      </w:pPr>
      <w:r>
        <w:rPr>
          <w:b/>
          <w:bCs/>
          <w:color w:val="B8860B"/>
          <w:sz w:val="22"/>
          <w:szCs w:val="22"/>
        </w:rPr>
        <w:t xml:space="preserve">Fund Life — </w:t>
      </w:r>
      <w:r>
        <w:rPr>
          <w:color w:val="1F2937"/>
          <w:sz w:val="22"/>
          <w:szCs w:val="22"/>
        </w:rPr>
        <w:t xml:space="preserve">The defined investment period and holding period of a PE fund. Typical fund life is 10 years with optional extensions. Fund life creates exit pressure as funds approach final year of life — sponsors must exit holdings to return capital to LPs. Bonds in sponsor-backed platforms are typically refinanced or repaid at exit.</w:t>
      </w:r>
    </w:p>
    <w:p>
      <w:pPr>
        <w:pStyle w:val="Heading3"/>
        <w:spacing w:after="120" w:before="240"/>
      </w:pPr>
      <w:r>
        <w:rPr>
          <w:b/>
          <w:bCs/>
          <w:color w:val="374151"/>
          <w:sz w:val="24"/>
          <w:szCs w:val="24"/>
        </w:rPr>
        <w:t xml:space="preserve">Bond-Specific M&amp;A Terms</w:t>
      </w:r>
    </w:p>
    <w:p>
      <w:pPr>
        <w:spacing w:after="100" w:line="300"/>
        <w:ind w:left="200"/>
        <w:jc w:val="both"/>
      </w:pPr>
      <w:r>
        <w:rPr>
          <w:b/>
          <w:bCs/>
          <w:color w:val="B8860B"/>
          <w:sz w:val="22"/>
          <w:szCs w:val="22"/>
        </w:rPr>
        <w:t xml:space="preserve">Acquisition Facility — </w:t>
      </w:r>
      <w:r>
        <w:rPr>
          <w:color w:val="1F2937"/>
          <w:sz w:val="22"/>
          <w:szCs w:val="22"/>
        </w:rPr>
        <w:t xml:space="preserve">The bond structured specifically to fund an acquisition. May be a single tranche or multiple tranches. May be funded at close or include delayed draw capacity for add-ons.</w:t>
      </w:r>
    </w:p>
    <w:p>
      <w:pPr>
        <w:spacing w:after="100" w:line="300"/>
        <w:ind w:left="200"/>
        <w:jc w:val="both"/>
      </w:pPr>
      <w:r>
        <w:rPr>
          <w:b/>
          <w:bCs/>
          <w:color w:val="B8860B"/>
          <w:sz w:val="22"/>
          <w:szCs w:val="22"/>
        </w:rPr>
        <w:t xml:space="preserve">Add-On Capacity — </w:t>
      </w:r>
      <w:r>
        <w:rPr>
          <w:color w:val="1F2937"/>
          <w:sz w:val="22"/>
          <w:szCs w:val="22"/>
        </w:rPr>
        <w:t xml:space="preserve">A delayed-draw component of the bond facility that provides capital for future add-on acquisitions. The acquirer can draw additional proceeds as add-ons close, subject to defined conditions (typically pro forma leverage and coverage tests).</w:t>
      </w:r>
    </w:p>
    <w:p>
      <w:pPr>
        <w:spacing w:after="100" w:line="300"/>
        <w:ind w:left="200"/>
        <w:jc w:val="both"/>
      </w:pPr>
      <w:r>
        <w:rPr>
          <w:b/>
          <w:bCs/>
          <w:color w:val="B8860B"/>
          <w:sz w:val="22"/>
          <w:szCs w:val="22"/>
        </w:rPr>
        <w:t xml:space="preserve">Permitted Acquisition Basket — </w:t>
      </w:r>
      <w:r>
        <w:rPr>
          <w:color w:val="1F2937"/>
          <w:sz w:val="22"/>
          <w:szCs w:val="22"/>
        </w:rPr>
        <w:t xml:space="preserve">A covenant provision in the indenture defining the size and characteristics of acquisitions the borrower may complete without bondholder consent. Larger acquisitions or acquisitions outside defined sectors require bondholder approval. The permitted acquisition basket is a key negotiated term in sponsor-backed acquisition bonds.</w:t>
      </w:r>
    </w:p>
    <w:p>
      <w:pPr>
        <w:spacing w:after="100" w:line="300"/>
        <w:ind w:left="200"/>
        <w:jc w:val="both"/>
      </w:pPr>
      <w:r>
        <w:rPr>
          <w:b/>
          <w:bCs/>
          <w:color w:val="B8860B"/>
          <w:sz w:val="22"/>
          <w:szCs w:val="22"/>
        </w:rPr>
        <w:t xml:space="preserve">Equity Contribution Requirement — </w:t>
      </w:r>
      <w:r>
        <w:rPr>
          <w:color w:val="1F2937"/>
          <w:sz w:val="22"/>
          <w:szCs w:val="22"/>
        </w:rPr>
        <w:t xml:space="preserve">A covenant provision requiring the sponsor to contribute a defined minimum percentage of equity to each add-on acquisition. Prevents the borrower from financing add-ons entirely with bond proceeds, which would deteriorate leverage.</w:t>
      </w:r>
    </w:p>
    <w:p>
      <w:pPr>
        <w:spacing w:after="100" w:line="300"/>
        <w:ind w:left="200"/>
        <w:jc w:val="both"/>
      </w:pPr>
      <w:r>
        <w:rPr>
          <w:b/>
          <w:bCs/>
          <w:color w:val="B8860B"/>
          <w:sz w:val="22"/>
          <w:szCs w:val="22"/>
        </w:rPr>
        <w:t xml:space="preserve">Acquisition Coverage Test — </w:t>
      </w:r>
      <w:r>
        <w:rPr>
          <w:color w:val="1F2937"/>
          <w:sz w:val="22"/>
          <w:szCs w:val="22"/>
        </w:rPr>
        <w:t xml:space="preserve">A pro forma financial test the borrower must satisfy to complete an acquisition without seeking bondholder consent. Typical test: pro forma leverage at or below defined threshold (e.g., 5.5x) and pro forma fixed charge coverage at or above defined threshold (e.g., 2.0x). Pro forma calculations include the target's contribution plus identified synergies that meet defined verification standards.</w:t>
      </w:r>
    </w:p>
    <w:p>
      <w:pPr>
        <w:spacing w:after="100" w:line="300"/>
        <w:ind w:left="200"/>
        <w:jc w:val="both"/>
      </w:pPr>
      <w:r>
        <w:rPr>
          <w:b/>
          <w:bCs/>
          <w:color w:val="B8860B"/>
          <w:sz w:val="22"/>
          <w:szCs w:val="22"/>
        </w:rPr>
        <w:t xml:space="preserve">Cash-Collateralized LC Structure — </w:t>
      </w:r>
      <w:r>
        <w:rPr>
          <w:color w:val="1F2937"/>
          <w:sz w:val="22"/>
          <w:szCs w:val="22"/>
        </w:rPr>
        <w:t xml:space="preserve">An acquisition bond structure where the sponsor (or family office) cash-collateralizes a letter of credit from an investment-grade bank, and the LC wraps the bond. The resulting bond is rated to the LC bank's short-term rating (typically A-1+ / P-1, equivalent to AA+ or AAA long-term). The sponsor's cash sits in a controlled escrow earning treasury rates throughout the bond's life. The structure produces investment-grade pricing without requiring the platform to be investment grade on a standalone basis.</w:t>
      </w:r>
    </w:p>
    <w:p>
      <w:pPr>
        <w:spacing w:after="100" w:line="300"/>
        <w:ind w:left="200"/>
        <w:jc w:val="both"/>
      </w:pPr>
      <w:r>
        <w:rPr>
          <w:b/>
          <w:bCs/>
          <w:color w:val="B8860B"/>
          <w:sz w:val="22"/>
          <w:szCs w:val="22"/>
        </w:rPr>
        <w:t xml:space="preserve">Sponsor Support Agreement — </w:t>
      </w:r>
      <w:r>
        <w:rPr>
          <w:color w:val="1F2937"/>
          <w:sz w:val="22"/>
          <w:szCs w:val="22"/>
        </w:rPr>
        <w:t xml:space="preserve">A contractual commitment from the sponsor to support the borrower in defined circumstances — typically reserve replenishment, covenant cures, or limited equity injection at defined trigger events. Sponsor support agreements provide additional credit support beyond the borrower's standalone profile.</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3. The Ingestion Process for M&amp;A Acquisition Bonds</w:t>
      </w:r>
    </w:p>
    <w:p>
      <w:pPr>
        <w:spacing w:after="140" w:line="320"/>
        <w:jc w:val="both"/>
      </w:pPr>
      <w:r>
        <w:rPr>
          <w:color w:val="1F2937"/>
          <w:sz w:val="22"/>
          <w:szCs w:val="22"/>
        </w:rPr>
        <w:t xml:space="preserve">The intake for an M&amp;A acquisition bond is structurally different from the intake for a vanilla bond. The borrower is not financing a project they own; they are financing the acquisition of a target they do not yet own. The diligence is on a third party (the target) whose information access is mediated by the seller. The timeline is bounded by the M&amp;A process (LOI exclusivity, definitive agreement signing, close target date) rather than by the borrower's own schedule. The intake process is designed to capture everything Nest needs to underwrite the bond and to commit to financing within the M&amp;A timeline.</w:t>
      </w:r>
    </w:p>
    <w:p>
      <w:pPr>
        <w:pStyle w:val="Heading3"/>
        <w:spacing w:after="120" w:before="240"/>
      </w:pPr>
      <w:r>
        <w:rPr>
          <w:b/>
          <w:bCs/>
          <w:color w:val="374151"/>
          <w:sz w:val="24"/>
          <w:szCs w:val="24"/>
        </w:rPr>
        <w:t xml:space="preserve">3.1 Intake Trigger</w:t>
      </w:r>
    </w:p>
    <w:p>
      <w:pPr>
        <w:spacing w:after="140" w:line="320"/>
        <w:jc w:val="both"/>
      </w:pPr>
      <w:r>
        <w:rPr>
          <w:color w:val="1F2937"/>
          <w:sz w:val="22"/>
          <w:szCs w:val="22"/>
        </w:rPr>
        <w:t xml:space="preserve">M&amp;A acquisition bond intake is triggered by one of three events:</w:t>
      </w:r>
    </w:p>
    <w:p>
      <w:pPr>
        <w:pStyle w:val="ListParagraph"/>
        <w:numPr>
          <w:ilvl w:val="0"/>
          <w:numId w:val="2"/>
        </w:numPr>
        <w:spacing w:after="80" w:line="300"/>
      </w:pPr>
      <w:r>
        <w:rPr>
          <w:color w:val="1F2937"/>
          <w:sz w:val="22"/>
          <w:szCs w:val="22"/>
        </w:rPr>
        <w:t xml:space="preserve">Inbound from sponsor or strategic acquirer who has signed (or is about to sign) an LOI and needs acquisition financing — the most common path, typically through BD partner referral or direct outreach to Nest's principals</w:t>
      </w:r>
    </w:p>
    <w:p>
      <w:pPr>
        <w:pStyle w:val="ListParagraph"/>
        <w:numPr>
          <w:ilvl w:val="0"/>
          <w:numId w:val="2"/>
        </w:numPr>
        <w:spacing w:after="80" w:line="300"/>
      </w:pPr>
      <w:r>
        <w:rPr>
          <w:color w:val="1F2937"/>
          <w:sz w:val="22"/>
          <w:szCs w:val="22"/>
        </w:rPr>
        <w:t xml:space="preserve">Outbound from Nest, identified through Eagle Eye's M&amp;A signaling agent — public signals indicating an active M&amp;A process where the acquirer is likely to need acquisition financing</w:t>
      </w:r>
    </w:p>
    <w:p>
      <w:pPr>
        <w:pStyle w:val="ListParagraph"/>
        <w:numPr>
          <w:ilvl w:val="0"/>
          <w:numId w:val="2"/>
        </w:numPr>
        <w:spacing w:after="80" w:line="300"/>
      </w:pPr>
      <w:r>
        <w:rPr>
          <w:color w:val="1F2937"/>
          <w:sz w:val="22"/>
          <w:szCs w:val="22"/>
        </w:rPr>
        <w:t xml:space="preserve">Add-on financing for an existing platform that Nest has financed previously — surfaced by the existing platform's Surveillance Desk monitoring</w:t>
      </w:r>
    </w:p>
    <w:p>
      <w:pPr>
        <w:spacing w:after="140" w:line="320"/>
        <w:jc w:val="both"/>
      </w:pPr>
      <w:r>
        <w:rPr>
          <w:color w:val="1F2937"/>
          <w:sz w:val="22"/>
          <w:szCs w:val="22"/>
        </w:rPr>
        <w:t xml:space="preserve">The trigger event determines initial intake context. An inbound from a sponsor with a signed LOI is in an active timeline; intake must move quickly. An outbound based on Eagle Eye signals is pre-LOI; intake is preparatory and focused on building the relationship and positioning Nest as the financing partner of choice for the deal.</w:t>
      </w:r>
    </w:p>
    <w:p>
      <w:pPr>
        <w:pStyle w:val="Heading3"/>
        <w:spacing w:after="120" w:before="240"/>
      </w:pPr>
      <w:r>
        <w:rPr>
          <w:b/>
          <w:bCs/>
          <w:color w:val="374151"/>
          <w:sz w:val="24"/>
          <w:szCs w:val="24"/>
        </w:rPr>
        <w:t xml:space="preserve">3.2 Intake Document Stack</w:t>
      </w:r>
    </w:p>
    <w:p>
      <w:pPr>
        <w:spacing w:after="140" w:line="320"/>
        <w:jc w:val="both"/>
      </w:pPr>
      <w:r>
        <w:rPr>
          <w:color w:val="1F2937"/>
          <w:sz w:val="22"/>
          <w:szCs w:val="22"/>
        </w:rPr>
        <w:t xml:space="preserve">The intake document stack for M&amp;A acquisition bonds includes:</w:t>
      </w:r>
    </w:p>
    <w:p>
      <w:pPr>
        <w:spacing w:after="80" w:before="180"/>
      </w:pPr>
      <w:r>
        <w:rPr>
          <w:b/>
          <w:bCs/>
          <w:i/>
          <w:iCs/>
          <w:color w:val="374151"/>
          <w:sz w:val="22"/>
          <w:szCs w:val="22"/>
        </w:rPr>
        <w:t xml:space="preserve">Acquirer-Side Documents</w:t>
      </w:r>
    </w:p>
    <w:p>
      <w:pPr>
        <w:pStyle w:val="ListParagraph"/>
        <w:numPr>
          <w:ilvl w:val="0"/>
          <w:numId w:val="2"/>
        </w:numPr>
        <w:spacing w:after="80" w:line="300"/>
      </w:pPr>
      <w:r>
        <w:rPr>
          <w:color w:val="1F2937"/>
          <w:sz w:val="22"/>
          <w:szCs w:val="22"/>
        </w:rPr>
        <w:t xml:space="preserve">Sponsor or family office governing documents — fund formation documents (for PE), family office structure documents, governance authority confirmations</w:t>
      </w:r>
    </w:p>
    <w:p>
      <w:pPr>
        <w:pStyle w:val="ListParagraph"/>
        <w:numPr>
          <w:ilvl w:val="0"/>
          <w:numId w:val="2"/>
        </w:numPr>
        <w:spacing w:after="80" w:line="300"/>
      </w:pPr>
      <w:r>
        <w:rPr>
          <w:color w:val="1F2937"/>
          <w:sz w:val="22"/>
          <w:szCs w:val="22"/>
        </w:rPr>
        <w:t xml:space="preserve">Acquirer entity formation documents — the SPV or operating company that will own the target post-close</w:t>
      </w:r>
    </w:p>
    <w:p>
      <w:pPr>
        <w:pStyle w:val="ListParagraph"/>
        <w:numPr>
          <w:ilvl w:val="0"/>
          <w:numId w:val="2"/>
        </w:numPr>
        <w:spacing w:after="80" w:line="300"/>
      </w:pPr>
      <w:r>
        <w:rPr>
          <w:color w:val="1F2937"/>
          <w:sz w:val="22"/>
          <w:szCs w:val="22"/>
        </w:rPr>
        <w:t xml:space="preserve">Acquirer financial profile — sponsor's available capital, prior portfolio company performance, family office balance sheet (where applicable)</w:t>
      </w:r>
    </w:p>
    <w:p>
      <w:pPr>
        <w:pStyle w:val="ListParagraph"/>
        <w:numPr>
          <w:ilvl w:val="0"/>
          <w:numId w:val="2"/>
        </w:numPr>
        <w:spacing w:after="80" w:line="300"/>
      </w:pPr>
      <w:r>
        <w:rPr>
          <w:color w:val="1F2937"/>
          <w:sz w:val="22"/>
          <w:szCs w:val="22"/>
        </w:rPr>
        <w:t xml:space="preserve">Sponsor's track record — historical IRRs, MOICs, hold periods, exit history, sector experience</w:t>
      </w:r>
    </w:p>
    <w:p>
      <w:pPr>
        <w:pStyle w:val="ListParagraph"/>
        <w:numPr>
          <w:ilvl w:val="0"/>
          <w:numId w:val="2"/>
        </w:numPr>
        <w:spacing w:after="80" w:line="300"/>
      </w:pPr>
      <w:r>
        <w:rPr>
          <w:color w:val="1F2937"/>
          <w:sz w:val="22"/>
          <w:szCs w:val="22"/>
        </w:rPr>
        <w:t xml:space="preserve">Acquirer's other commitments — current portfolio company exposure, pending deals, deployable capital availability</w:t>
      </w:r>
    </w:p>
    <w:p>
      <w:pPr>
        <w:pStyle w:val="ListParagraph"/>
        <w:numPr>
          <w:ilvl w:val="0"/>
          <w:numId w:val="2"/>
        </w:numPr>
        <w:spacing w:after="80" w:line="300"/>
      </w:pPr>
      <w:r>
        <w:rPr>
          <w:color w:val="1F2937"/>
          <w:sz w:val="22"/>
          <w:szCs w:val="22"/>
        </w:rPr>
        <w:t xml:space="preserve">Acquirer's debt facility history — prior bank relationships, prior bond issuances, default and workout history if any</w:t>
      </w:r>
    </w:p>
    <w:p>
      <w:pPr>
        <w:spacing w:after="80" w:before="180"/>
      </w:pPr>
      <w:r>
        <w:rPr>
          <w:b/>
          <w:bCs/>
          <w:i/>
          <w:iCs/>
          <w:color w:val="374151"/>
          <w:sz w:val="22"/>
          <w:szCs w:val="22"/>
        </w:rPr>
        <w:t xml:space="preserve">Target-Side Documents</w:t>
      </w:r>
    </w:p>
    <w:p>
      <w:pPr>
        <w:pStyle w:val="ListParagraph"/>
        <w:numPr>
          <w:ilvl w:val="0"/>
          <w:numId w:val="2"/>
        </w:numPr>
        <w:spacing w:after="80" w:line="300"/>
      </w:pPr>
      <w:r>
        <w:rPr>
          <w:color w:val="1F2937"/>
          <w:sz w:val="22"/>
          <w:szCs w:val="22"/>
        </w:rPr>
        <w:t xml:space="preserve">Target financials — three years audited (if available), trailing twelve months unaudited, current period interim</w:t>
      </w:r>
    </w:p>
    <w:p>
      <w:pPr>
        <w:pStyle w:val="ListParagraph"/>
        <w:numPr>
          <w:ilvl w:val="0"/>
          <w:numId w:val="2"/>
        </w:numPr>
        <w:spacing w:after="80" w:line="300"/>
      </w:pPr>
      <w:r>
        <w:rPr>
          <w:color w:val="1F2937"/>
          <w:sz w:val="22"/>
          <w:szCs w:val="22"/>
        </w:rPr>
        <w:t xml:space="preserve">Target tax returns — same period as financials</w:t>
      </w:r>
    </w:p>
    <w:p>
      <w:pPr>
        <w:pStyle w:val="ListParagraph"/>
        <w:numPr>
          <w:ilvl w:val="0"/>
          <w:numId w:val="2"/>
        </w:numPr>
        <w:spacing w:after="80" w:line="300"/>
      </w:pPr>
      <w:r>
        <w:rPr>
          <w:color w:val="1F2937"/>
          <w:sz w:val="22"/>
          <w:szCs w:val="22"/>
        </w:rPr>
        <w:t xml:space="preserve">Quality of Earnings report — the buy-side QofE produced by a CPA firm engaged by the acquirer (or, where the QofE is not yet complete, the engagement letter and expected delivery date)</w:t>
      </w:r>
    </w:p>
    <w:p>
      <w:pPr>
        <w:pStyle w:val="ListParagraph"/>
        <w:numPr>
          <w:ilvl w:val="0"/>
          <w:numId w:val="2"/>
        </w:numPr>
        <w:spacing w:after="80" w:line="300"/>
      </w:pPr>
      <w:r>
        <w:rPr>
          <w:color w:val="1F2937"/>
          <w:sz w:val="22"/>
          <w:szCs w:val="22"/>
        </w:rPr>
        <w:t xml:space="preserve">Target customer concentration — top 10 customer revenue and gross profit contribution</w:t>
      </w:r>
    </w:p>
    <w:p>
      <w:pPr>
        <w:pStyle w:val="ListParagraph"/>
        <w:numPr>
          <w:ilvl w:val="0"/>
          <w:numId w:val="2"/>
        </w:numPr>
        <w:spacing w:after="80" w:line="300"/>
      </w:pPr>
      <w:r>
        <w:rPr>
          <w:color w:val="1F2937"/>
          <w:sz w:val="22"/>
          <w:szCs w:val="22"/>
        </w:rPr>
        <w:t xml:space="preserve">Target contract base — recurring revenue contracts, multi-year commitments, termination provisions</w:t>
      </w:r>
    </w:p>
    <w:p>
      <w:pPr>
        <w:pStyle w:val="ListParagraph"/>
        <w:numPr>
          <w:ilvl w:val="0"/>
          <w:numId w:val="2"/>
        </w:numPr>
        <w:spacing w:after="80" w:line="300"/>
      </w:pPr>
      <w:r>
        <w:rPr>
          <w:color w:val="1F2937"/>
          <w:sz w:val="22"/>
          <w:szCs w:val="22"/>
        </w:rPr>
        <w:t xml:space="preserve">Target operating metrics — headcount, facilities, equipment, inventory, working capital</w:t>
      </w:r>
    </w:p>
    <w:p>
      <w:pPr>
        <w:pStyle w:val="ListParagraph"/>
        <w:numPr>
          <w:ilvl w:val="0"/>
          <w:numId w:val="2"/>
        </w:numPr>
        <w:spacing w:after="80" w:line="300"/>
      </w:pPr>
      <w:r>
        <w:rPr>
          <w:color w:val="1F2937"/>
          <w:sz w:val="22"/>
          <w:szCs w:val="22"/>
        </w:rPr>
        <w:t xml:space="preserve">Target legal and litigation — pending litigation, regulatory actions, contract disputes</w:t>
      </w:r>
    </w:p>
    <w:p>
      <w:pPr>
        <w:spacing w:after="80" w:before="180"/>
      </w:pPr>
      <w:r>
        <w:rPr>
          <w:b/>
          <w:bCs/>
          <w:i/>
          <w:iCs/>
          <w:color w:val="374151"/>
          <w:sz w:val="22"/>
          <w:szCs w:val="22"/>
        </w:rPr>
        <w:t xml:space="preserve">Transaction Documents</w:t>
      </w:r>
    </w:p>
    <w:p>
      <w:pPr>
        <w:pStyle w:val="ListParagraph"/>
        <w:numPr>
          <w:ilvl w:val="0"/>
          <w:numId w:val="2"/>
        </w:numPr>
        <w:spacing w:after="80" w:line="300"/>
      </w:pPr>
      <w:r>
        <w:rPr>
          <w:color w:val="1F2937"/>
          <w:sz w:val="22"/>
          <w:szCs w:val="22"/>
        </w:rPr>
        <w:t xml:space="preserve">LOI (executed) — the signed letter of intent establishing the deal framework</w:t>
      </w:r>
    </w:p>
    <w:p>
      <w:pPr>
        <w:pStyle w:val="ListParagraph"/>
        <w:numPr>
          <w:ilvl w:val="0"/>
          <w:numId w:val="2"/>
        </w:numPr>
        <w:spacing w:after="80" w:line="300"/>
      </w:pPr>
      <w:r>
        <w:rPr>
          <w:color w:val="1F2937"/>
          <w:sz w:val="22"/>
          <w:szCs w:val="22"/>
        </w:rPr>
        <w:t xml:space="preserve">Draft definitive agreement (when available) — SPA, APA, or merger agreement draft</w:t>
      </w:r>
    </w:p>
    <w:p>
      <w:pPr>
        <w:pStyle w:val="ListParagraph"/>
        <w:numPr>
          <w:ilvl w:val="0"/>
          <w:numId w:val="2"/>
        </w:numPr>
        <w:spacing w:after="80" w:line="300"/>
      </w:pPr>
      <w:r>
        <w:rPr>
          <w:color w:val="1F2937"/>
          <w:sz w:val="22"/>
          <w:szCs w:val="22"/>
        </w:rPr>
        <w:t xml:space="preserve">Working capital target — the pre-agreed working capital target and the target's recent working capital trends</w:t>
      </w:r>
    </w:p>
    <w:p>
      <w:pPr>
        <w:pStyle w:val="ListParagraph"/>
        <w:numPr>
          <w:ilvl w:val="0"/>
          <w:numId w:val="2"/>
        </w:numPr>
        <w:spacing w:after="80" w:line="300"/>
      </w:pPr>
      <w:r>
        <w:rPr>
          <w:color w:val="1F2937"/>
          <w:sz w:val="22"/>
          <w:szCs w:val="22"/>
        </w:rPr>
        <w:t xml:space="preserve">Closing condition list — regulatory approvals, third-party consents, financing-out provisions</w:t>
      </w:r>
    </w:p>
    <w:p>
      <w:pPr>
        <w:pStyle w:val="ListParagraph"/>
        <w:numPr>
          <w:ilvl w:val="0"/>
          <w:numId w:val="2"/>
        </w:numPr>
        <w:spacing w:after="80" w:line="300"/>
      </w:pPr>
      <w:r>
        <w:rPr>
          <w:color w:val="1F2937"/>
          <w:sz w:val="22"/>
          <w:szCs w:val="22"/>
        </w:rPr>
        <w:t xml:space="preserve">R&amp;W insurance plan — confirmation of RWI placement, policy terms, escrow approach</w:t>
      </w:r>
    </w:p>
    <w:p>
      <w:pPr>
        <w:spacing w:after="80" w:before="180"/>
      </w:pPr>
      <w:r>
        <w:rPr>
          <w:b/>
          <w:bCs/>
          <w:i/>
          <w:iCs/>
          <w:color w:val="374151"/>
          <w:sz w:val="22"/>
          <w:szCs w:val="22"/>
        </w:rPr>
        <w:t xml:space="preserve">Capital Structure Documents</w:t>
      </w:r>
    </w:p>
    <w:p>
      <w:pPr>
        <w:pStyle w:val="ListParagraph"/>
        <w:numPr>
          <w:ilvl w:val="0"/>
          <w:numId w:val="2"/>
        </w:numPr>
        <w:spacing w:after="80" w:line="300"/>
      </w:pPr>
      <w:r>
        <w:rPr>
          <w:color w:val="1F2937"/>
          <w:sz w:val="22"/>
          <w:szCs w:val="22"/>
        </w:rPr>
        <w:t xml:space="preserve">Sources and uses of funds at close — the proposed capital stack showing how the purchase price is funded</w:t>
      </w:r>
    </w:p>
    <w:p>
      <w:pPr>
        <w:pStyle w:val="ListParagraph"/>
        <w:numPr>
          <w:ilvl w:val="0"/>
          <w:numId w:val="2"/>
        </w:numPr>
        <w:spacing w:after="80" w:line="300"/>
      </w:pPr>
      <w:r>
        <w:rPr>
          <w:color w:val="1F2937"/>
          <w:sz w:val="22"/>
          <w:szCs w:val="22"/>
        </w:rPr>
        <w:t xml:space="preserve">Existing target debt schedule — debt being assumed, debt being refinanced at close, debt being repaid by seller</w:t>
      </w:r>
    </w:p>
    <w:p>
      <w:pPr>
        <w:pStyle w:val="ListParagraph"/>
        <w:numPr>
          <w:ilvl w:val="0"/>
          <w:numId w:val="2"/>
        </w:numPr>
        <w:spacing w:after="80" w:line="300"/>
      </w:pPr>
      <w:r>
        <w:rPr>
          <w:color w:val="1F2937"/>
          <w:sz w:val="22"/>
          <w:szCs w:val="22"/>
        </w:rPr>
        <w:t xml:space="preserve">Equity contribution plan — sponsor equity check, rollover equity, co-investment, any seller financing</w:t>
      </w:r>
    </w:p>
    <w:p>
      <w:pPr>
        <w:pStyle w:val="ListParagraph"/>
        <w:numPr>
          <w:ilvl w:val="0"/>
          <w:numId w:val="2"/>
        </w:numPr>
        <w:spacing w:after="80" w:line="300"/>
      </w:pPr>
      <w:r>
        <w:rPr>
          <w:color w:val="1F2937"/>
          <w:sz w:val="22"/>
          <w:szCs w:val="22"/>
        </w:rPr>
        <w:t xml:space="preserve">Identified synergies — cost synergies, revenue synergies, integration timeline</w:t>
      </w:r>
    </w:p>
    <w:p>
      <w:pPr>
        <w:pStyle w:val="ListParagraph"/>
        <w:numPr>
          <w:ilvl w:val="0"/>
          <w:numId w:val="2"/>
        </w:numPr>
        <w:spacing w:after="80" w:line="300"/>
      </w:pPr>
      <w:r>
        <w:rPr>
          <w:color w:val="1F2937"/>
          <w:sz w:val="22"/>
          <w:szCs w:val="22"/>
        </w:rPr>
        <w:t xml:space="preserve">Integration plan — operational integration steps, expected timeline, expected costs</w:t>
      </w:r>
    </w:p>
    <w:p>
      <w:pPr>
        <w:spacing w:after="80" w:before="180"/>
      </w:pPr>
      <w:r>
        <w:rPr>
          <w:b/>
          <w:bCs/>
          <w:i/>
          <w:iCs/>
          <w:color w:val="374151"/>
          <w:sz w:val="22"/>
          <w:szCs w:val="22"/>
        </w:rPr>
        <w:t xml:space="preserve">Bond Structure Inputs</w:t>
      </w:r>
    </w:p>
    <w:p>
      <w:pPr>
        <w:pStyle w:val="ListParagraph"/>
        <w:numPr>
          <w:ilvl w:val="0"/>
          <w:numId w:val="2"/>
        </w:numPr>
        <w:spacing w:after="80" w:line="300"/>
      </w:pPr>
      <w:r>
        <w:rPr>
          <w:color w:val="1F2937"/>
          <w:sz w:val="22"/>
          <w:szCs w:val="22"/>
        </w:rPr>
        <w:t xml:space="preserve">Acquirer's preferred bond structure — taxable senior secured, cash-collateralized LC, tax-exempt (if target qualifies), tranching preference</w:t>
      </w:r>
    </w:p>
    <w:p>
      <w:pPr>
        <w:pStyle w:val="ListParagraph"/>
        <w:numPr>
          <w:ilvl w:val="0"/>
          <w:numId w:val="2"/>
        </w:numPr>
        <w:spacing w:after="80" w:line="300"/>
      </w:pPr>
      <w:r>
        <w:rPr>
          <w:color w:val="1F2937"/>
          <w:sz w:val="22"/>
          <w:szCs w:val="22"/>
        </w:rPr>
        <w:t xml:space="preserve">Add-on financing needs — if the acquisition is a platform acquisition with planned add-ons, the delayed draw capacity required</w:t>
      </w:r>
    </w:p>
    <w:p>
      <w:pPr>
        <w:pStyle w:val="ListParagraph"/>
        <w:numPr>
          <w:ilvl w:val="0"/>
          <w:numId w:val="2"/>
        </w:numPr>
        <w:spacing w:after="80" w:line="300"/>
      </w:pPr>
      <w:r>
        <w:rPr>
          <w:color w:val="1F2937"/>
          <w:sz w:val="22"/>
          <w:szCs w:val="22"/>
        </w:rPr>
        <w:t xml:space="preserve">Working capital and CapEx needs — beyond the acquisition itself, the working capital and CapEx capital the platform needs in the integration period</w:t>
      </w:r>
    </w:p>
    <w:p>
      <w:pPr>
        <w:pStyle w:val="ListParagraph"/>
        <w:numPr>
          <w:ilvl w:val="0"/>
          <w:numId w:val="2"/>
        </w:numPr>
        <w:spacing w:after="80" w:line="300"/>
      </w:pPr>
      <w:r>
        <w:rPr>
          <w:color w:val="1F2937"/>
          <w:sz w:val="22"/>
          <w:szCs w:val="22"/>
        </w:rPr>
        <w:t xml:space="preserve">Hold period and exit strategy — the sponsor's expected hold period and exit mechanism, which inform amortization and call structure</w:t>
      </w:r>
    </w:p>
    <w:p>
      <w:pPr>
        <w:pStyle w:val="Heading3"/>
        <w:spacing w:after="120" w:before="240"/>
      </w:pPr>
      <w:r>
        <w:rPr>
          <w:b/>
          <w:bCs/>
          <w:color w:val="374151"/>
          <w:sz w:val="24"/>
          <w:szCs w:val="24"/>
        </w:rPr>
        <w:t xml:space="preserve">3.3 The Acquirer Readiness Checklist</w:t>
      </w:r>
    </w:p>
    <w:p>
      <w:pPr>
        <w:spacing w:after="140" w:line="320"/>
        <w:jc w:val="both"/>
      </w:pPr>
      <w:r>
        <w:rPr>
          <w:color w:val="1F2937"/>
          <w:sz w:val="22"/>
          <w:szCs w:val="22"/>
        </w:rPr>
        <w:t xml:space="preserve">The Acquirer Readiness Checklist is the platform's intake assessment of whether the acquirer is ready for an M&amp;A acquisition bond. The checklist is run at intake and updated as the deal progresses. Categories:</w:t>
      </w:r>
    </w:p>
    <w:p>
      <w:pPr>
        <w:spacing w:after="80" w:before="180"/>
      </w:pPr>
      <w:r>
        <w:rPr>
          <w:b/>
          <w:bCs/>
          <w:i/>
          <w:iCs/>
          <w:color w:val="374151"/>
          <w:sz w:val="22"/>
          <w:szCs w:val="22"/>
        </w:rPr>
        <w:t xml:space="preserve">Sponsor or Acquirer Capability Readiness</w:t>
      </w:r>
    </w:p>
    <w:p>
      <w:pPr>
        <w:pStyle w:val="ListParagraph"/>
        <w:numPr>
          <w:ilvl w:val="0"/>
          <w:numId w:val="2"/>
        </w:numPr>
        <w:spacing w:after="80" w:line="300"/>
      </w:pPr>
      <w:r>
        <w:rPr>
          <w:color w:val="1F2937"/>
          <w:sz w:val="22"/>
          <w:szCs w:val="22"/>
        </w:rPr>
        <w:t xml:space="preserve">Sponsor has sufficient deployable capital for the required equity check</w:t>
      </w:r>
    </w:p>
    <w:p>
      <w:pPr>
        <w:pStyle w:val="ListParagraph"/>
        <w:numPr>
          <w:ilvl w:val="0"/>
          <w:numId w:val="2"/>
        </w:numPr>
        <w:spacing w:after="80" w:line="300"/>
      </w:pPr>
      <w:r>
        <w:rPr>
          <w:color w:val="1F2937"/>
          <w:sz w:val="22"/>
          <w:szCs w:val="22"/>
        </w:rPr>
        <w:t xml:space="preserve">Sponsor's prior portfolio companies show acceptable performance (no recent defaults, no recent litigation indicating fraud or material misrepresentation)</w:t>
      </w:r>
    </w:p>
    <w:p>
      <w:pPr>
        <w:pStyle w:val="ListParagraph"/>
        <w:numPr>
          <w:ilvl w:val="0"/>
          <w:numId w:val="2"/>
        </w:numPr>
        <w:spacing w:after="80" w:line="300"/>
      </w:pPr>
      <w:r>
        <w:rPr>
          <w:color w:val="1F2937"/>
          <w:sz w:val="22"/>
          <w:szCs w:val="22"/>
        </w:rPr>
        <w:t xml:space="preserve">Sponsor's track record in the target's sector — has the sponsor (or its team) operated in this sector before</w:t>
      </w:r>
    </w:p>
    <w:p>
      <w:pPr>
        <w:pStyle w:val="ListParagraph"/>
        <w:numPr>
          <w:ilvl w:val="0"/>
          <w:numId w:val="2"/>
        </w:numPr>
        <w:spacing w:after="80" w:line="300"/>
      </w:pPr>
      <w:r>
        <w:rPr>
          <w:color w:val="1F2937"/>
          <w:sz w:val="22"/>
          <w:szCs w:val="22"/>
        </w:rPr>
        <w:t xml:space="preserve">Strategic acquirers: operating history demonstrates capability to integrate acquisitions of this scale</w:t>
      </w:r>
    </w:p>
    <w:p>
      <w:pPr>
        <w:spacing w:after="80" w:before="180"/>
      </w:pPr>
      <w:r>
        <w:rPr>
          <w:b/>
          <w:bCs/>
          <w:i/>
          <w:iCs/>
          <w:color w:val="374151"/>
          <w:sz w:val="22"/>
          <w:szCs w:val="22"/>
        </w:rPr>
        <w:t xml:space="preserve">Target Profile Readiness</w:t>
      </w:r>
    </w:p>
    <w:p>
      <w:pPr>
        <w:pStyle w:val="ListParagraph"/>
        <w:numPr>
          <w:ilvl w:val="0"/>
          <w:numId w:val="2"/>
        </w:numPr>
        <w:spacing w:after="80" w:line="300"/>
      </w:pPr>
      <w:r>
        <w:rPr>
          <w:color w:val="1F2937"/>
          <w:sz w:val="22"/>
          <w:szCs w:val="22"/>
        </w:rPr>
        <w:t xml:space="preserve">Target has three years of audited financials (or, if smaller, three years of clean unaudited financials with a buy-side QofE engagement)</w:t>
      </w:r>
    </w:p>
    <w:p>
      <w:pPr>
        <w:pStyle w:val="ListParagraph"/>
        <w:numPr>
          <w:ilvl w:val="0"/>
          <w:numId w:val="2"/>
        </w:numPr>
        <w:spacing w:after="80" w:line="300"/>
      </w:pPr>
      <w:r>
        <w:rPr>
          <w:color w:val="1F2937"/>
          <w:sz w:val="22"/>
          <w:szCs w:val="22"/>
        </w:rPr>
        <w:t xml:space="preserve">Target's trailing twelve month EBITDA is positive and consistent with reported run-rate</w:t>
      </w:r>
    </w:p>
    <w:p>
      <w:pPr>
        <w:pStyle w:val="ListParagraph"/>
        <w:numPr>
          <w:ilvl w:val="0"/>
          <w:numId w:val="2"/>
        </w:numPr>
        <w:spacing w:after="80" w:line="300"/>
      </w:pPr>
      <w:r>
        <w:rPr>
          <w:color w:val="1F2937"/>
          <w:sz w:val="22"/>
          <w:szCs w:val="22"/>
        </w:rPr>
        <w:t xml:space="preserve">Target's revenue base is sufficiently diversified (top customer concentration below 25-30% absent strong contract protections)</w:t>
      </w:r>
    </w:p>
    <w:p>
      <w:pPr>
        <w:pStyle w:val="ListParagraph"/>
        <w:numPr>
          <w:ilvl w:val="0"/>
          <w:numId w:val="2"/>
        </w:numPr>
        <w:spacing w:after="80" w:line="300"/>
      </w:pPr>
      <w:r>
        <w:rPr>
          <w:color w:val="1F2937"/>
          <w:sz w:val="22"/>
          <w:szCs w:val="22"/>
        </w:rPr>
        <w:t xml:space="preserve">Target's contracts allow for change of control without consent issues that would block closing</w:t>
      </w:r>
    </w:p>
    <w:p>
      <w:pPr>
        <w:pStyle w:val="ListParagraph"/>
        <w:numPr>
          <w:ilvl w:val="0"/>
          <w:numId w:val="2"/>
        </w:numPr>
        <w:spacing w:after="80" w:line="300"/>
      </w:pPr>
      <w:r>
        <w:rPr>
          <w:color w:val="1F2937"/>
          <w:sz w:val="22"/>
          <w:szCs w:val="22"/>
        </w:rPr>
        <w:t xml:space="preserve">Target has no material pending litigation that would survive close and threaten the platform</w:t>
      </w:r>
    </w:p>
    <w:p>
      <w:pPr>
        <w:spacing w:after="80" w:before="180"/>
      </w:pPr>
      <w:r>
        <w:rPr>
          <w:b/>
          <w:bCs/>
          <w:i/>
          <w:iCs/>
          <w:color w:val="374151"/>
          <w:sz w:val="22"/>
          <w:szCs w:val="22"/>
        </w:rPr>
        <w:t xml:space="preserve">Transaction Structure Readiness</w:t>
      </w:r>
    </w:p>
    <w:p>
      <w:pPr>
        <w:pStyle w:val="ListParagraph"/>
        <w:numPr>
          <w:ilvl w:val="0"/>
          <w:numId w:val="2"/>
        </w:numPr>
        <w:spacing w:after="80" w:line="300"/>
      </w:pPr>
      <w:r>
        <w:rPr>
          <w:color w:val="1F2937"/>
          <w:sz w:val="22"/>
          <w:szCs w:val="22"/>
        </w:rPr>
        <w:t xml:space="preserve">Purchase price is in a reasonable range for the sector multiple (acquirer is not overpaying relative to comps)</w:t>
      </w:r>
    </w:p>
    <w:p>
      <w:pPr>
        <w:pStyle w:val="ListParagraph"/>
        <w:numPr>
          <w:ilvl w:val="0"/>
          <w:numId w:val="2"/>
        </w:numPr>
        <w:spacing w:after="80" w:line="300"/>
      </w:pPr>
      <w:r>
        <w:rPr>
          <w:color w:val="1F2937"/>
          <w:sz w:val="22"/>
          <w:szCs w:val="22"/>
        </w:rPr>
        <w:t xml:space="preserve">Capital structure provides at least 25-30% equity contribution from sponsor plus rollover equity</w:t>
      </w:r>
    </w:p>
    <w:p>
      <w:pPr>
        <w:pStyle w:val="ListParagraph"/>
        <w:numPr>
          <w:ilvl w:val="0"/>
          <w:numId w:val="2"/>
        </w:numPr>
        <w:spacing w:after="80" w:line="300"/>
      </w:pPr>
      <w:r>
        <w:rPr>
          <w:color w:val="1F2937"/>
          <w:sz w:val="22"/>
          <w:szCs w:val="22"/>
        </w:rPr>
        <w:t xml:space="preserve">Leverage profile is feasible for bond market (typically 4-7x total leverage achievable depending on sector and credit quality)</w:t>
      </w:r>
    </w:p>
    <w:p>
      <w:pPr>
        <w:pStyle w:val="ListParagraph"/>
        <w:numPr>
          <w:ilvl w:val="0"/>
          <w:numId w:val="2"/>
        </w:numPr>
        <w:spacing w:after="80" w:line="300"/>
      </w:pPr>
      <w:r>
        <w:rPr>
          <w:color w:val="1F2937"/>
          <w:sz w:val="22"/>
          <w:szCs w:val="22"/>
        </w:rPr>
        <w:t xml:space="preserve">Closing timeline allows sufficient time for bond execution (typically 60-90 days minimum from intake to close)</w:t>
      </w:r>
    </w:p>
    <w:p>
      <w:pPr>
        <w:pStyle w:val="ListParagraph"/>
        <w:numPr>
          <w:ilvl w:val="0"/>
          <w:numId w:val="2"/>
        </w:numPr>
        <w:spacing w:after="80" w:line="300"/>
      </w:pPr>
      <w:r>
        <w:rPr>
          <w:color w:val="1F2937"/>
          <w:sz w:val="22"/>
          <w:szCs w:val="22"/>
        </w:rPr>
        <w:t xml:space="preserve">R&amp;W insurance is in place or in process</w:t>
      </w:r>
    </w:p>
    <w:p>
      <w:pPr>
        <w:spacing w:after="80" w:before="180"/>
      </w:pPr>
      <w:r>
        <w:rPr>
          <w:b/>
          <w:bCs/>
          <w:i/>
          <w:iCs/>
          <w:color w:val="374151"/>
          <w:sz w:val="22"/>
          <w:szCs w:val="22"/>
        </w:rPr>
        <w:t xml:space="preserve">Bond Execution Readiness</w:t>
      </w:r>
    </w:p>
    <w:p>
      <w:pPr>
        <w:pStyle w:val="ListParagraph"/>
        <w:numPr>
          <w:ilvl w:val="0"/>
          <w:numId w:val="2"/>
        </w:numPr>
        <w:spacing w:after="80" w:line="300"/>
      </w:pPr>
      <w:r>
        <w:rPr>
          <w:color w:val="1F2937"/>
          <w:sz w:val="22"/>
          <w:szCs w:val="22"/>
        </w:rPr>
        <w:t xml:space="preserve">Acquirer is willing to commit to bond financing as the primary debt option (not playing multiple debt providers against each other)</w:t>
      </w:r>
    </w:p>
    <w:p>
      <w:pPr>
        <w:pStyle w:val="ListParagraph"/>
        <w:numPr>
          <w:ilvl w:val="0"/>
          <w:numId w:val="2"/>
        </w:numPr>
        <w:spacing w:after="80" w:line="300"/>
      </w:pPr>
      <w:r>
        <w:rPr>
          <w:color w:val="1F2937"/>
          <w:sz w:val="22"/>
          <w:szCs w:val="22"/>
        </w:rPr>
        <w:t xml:space="preserve">Acquirer is willing to provide the diligence access Nest requires</w:t>
      </w:r>
    </w:p>
    <w:p>
      <w:pPr>
        <w:pStyle w:val="ListParagraph"/>
        <w:numPr>
          <w:ilvl w:val="0"/>
          <w:numId w:val="2"/>
        </w:numPr>
        <w:spacing w:after="80" w:line="300"/>
      </w:pPr>
      <w:r>
        <w:rPr>
          <w:color w:val="1F2937"/>
          <w:sz w:val="22"/>
          <w:szCs w:val="22"/>
        </w:rPr>
        <w:t xml:space="preserve">Acquirer is willing to retain Nest as the lead financial advisor with appropriate engagement letter terms</w:t>
      </w:r>
    </w:p>
    <w:p>
      <w:pPr>
        <w:pStyle w:val="ListParagraph"/>
        <w:numPr>
          <w:ilvl w:val="0"/>
          <w:numId w:val="2"/>
        </w:numPr>
        <w:spacing w:after="80" w:line="300"/>
      </w:pPr>
      <w:r>
        <w:rPr>
          <w:color w:val="1F2937"/>
          <w:sz w:val="22"/>
          <w:szCs w:val="22"/>
        </w:rPr>
        <w:t xml:space="preserve">BD partner is identified and engaged</w:t>
      </w:r>
    </w:p>
    <w:p>
      <w:pPr>
        <w:spacing w:after="140" w:line="320"/>
        <w:jc w:val="both"/>
      </w:pPr>
      <w:r>
        <w:rPr>
          <w:color w:val="1F2937"/>
          <w:sz w:val="22"/>
          <w:szCs w:val="22"/>
        </w:rPr>
        <w:t xml:space="preserve">The platform runs the Acquirer Readiness Checklist through Bernard's translation layer for the principals. The principals review the checklist outputs and make the go/no-go decision on whether to commit Nest's structuring capacity to the deal. Deals that do not pass the readiness threshold are declined or sent back to the acquirer with the gaps identified.</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 The Documents Needed to Run an M&amp;A Acquisition Bond</w:t>
      </w:r>
    </w:p>
    <w:p>
      <w:pPr>
        <w:spacing w:after="140" w:line="320"/>
        <w:jc w:val="both"/>
      </w:pPr>
      <w:r>
        <w:rPr>
          <w:color w:val="1F2937"/>
          <w:sz w:val="22"/>
          <w:szCs w:val="22"/>
        </w:rPr>
        <w:t xml:space="preserve">The M&amp;A acquisition bond document stack differs from the vanilla bond document stack in specific ways. The universal documents — indenture, loan agreement (in conduit deals), bond purchase agreement, official statement or offering memorandum, opinions of counsel, closing certificates — are covered in the existing Bond Bible (Pass 1, Silo 4) and apply here with M&amp;A-specific modifications. The documents listed below are either incremental to the standard stack or substantially modified for the M&amp;A use case.</w:t>
      </w:r>
    </w:p>
    <w:p>
      <w:pPr>
        <w:pStyle w:val="Heading3"/>
        <w:spacing w:after="120" w:before="240"/>
      </w:pPr>
      <w:r>
        <w:rPr>
          <w:b/>
          <w:bCs/>
          <w:color w:val="374151"/>
          <w:sz w:val="24"/>
          <w:szCs w:val="24"/>
        </w:rPr>
        <w:t xml:space="preserve">4.1 The Indenture — M&amp;A-Specific Provisions</w:t>
      </w:r>
    </w:p>
    <w:p>
      <w:pPr>
        <w:spacing w:after="140" w:line="320"/>
        <w:jc w:val="both"/>
      </w:pPr>
      <w:r>
        <w:rPr>
          <w:color w:val="1F2937"/>
          <w:sz w:val="22"/>
          <w:szCs w:val="22"/>
        </w:rPr>
        <w:t xml:space="preserve">The bond indenture for an M&amp;A acquisition bond contains several provisions that do not appear in vanilla bond indentures or that take materially different form. Key M&amp;A-specific indenture provisions:</w:t>
      </w:r>
    </w:p>
    <w:p>
      <w:pPr>
        <w:spacing w:after="80" w:before="180"/>
      </w:pPr>
      <w:r>
        <w:rPr>
          <w:b/>
          <w:bCs/>
          <w:i/>
          <w:iCs/>
          <w:color w:val="374151"/>
          <w:sz w:val="22"/>
          <w:szCs w:val="22"/>
        </w:rPr>
        <w:t xml:space="preserve">Acquisition Coverage Test</w:t>
      </w:r>
    </w:p>
    <w:p>
      <w:pPr>
        <w:spacing w:after="140" w:line="320"/>
        <w:jc w:val="both"/>
      </w:pPr>
      <w:r>
        <w:rPr>
          <w:color w:val="1F2937"/>
          <w:sz w:val="22"/>
          <w:szCs w:val="22"/>
        </w:rPr>
        <w:t xml:space="preserve">The covenant defining when the borrower may complete additional acquisitions (add-ons or new platform acquisitions) without bondholder consent. Standard structure: pro forma leverage at or below defined ceiling (e.g., 5.5x), pro forma fixed charge coverage at or above defined floor (e.g., 2.0x), pro forma DSCR at or above defined threshold (e.g., 1.20x), and the acquisition target's EBITDA contribution verified by buy-side QofE. The test is a covenant — failure to satisfy it does not block the acquisition; it requires bondholder consent through the indenture's amendment process.</w:t>
      </w:r>
    </w:p>
    <w:p>
      <w:pPr>
        <w:spacing w:after="80" w:before="180"/>
      </w:pPr>
      <w:r>
        <w:rPr>
          <w:b/>
          <w:bCs/>
          <w:i/>
          <w:iCs/>
          <w:color w:val="374151"/>
          <w:sz w:val="22"/>
          <w:szCs w:val="22"/>
        </w:rPr>
        <w:t xml:space="preserve">Permitted Acquisition Basket</w:t>
      </w:r>
    </w:p>
    <w:p>
      <w:pPr>
        <w:spacing w:after="140" w:line="320"/>
        <w:jc w:val="both"/>
      </w:pPr>
      <w:r>
        <w:rPr>
          <w:color w:val="1F2937"/>
          <w:sz w:val="22"/>
          <w:szCs w:val="22"/>
        </w:rPr>
        <w:t xml:space="preserve">Even when the acquisition coverage test is satisfied, indenture provisions may further restrict acquisitions by sector, size, jurisdiction, or other attributes. The permitted acquisition basket defines what acquisitions are pre-authorized within the platform's investment thesis. Acquisitions outside the basket require either an amendment to the indenture or a specific bondholder consent.</w:t>
      </w:r>
    </w:p>
    <w:p>
      <w:pPr>
        <w:spacing w:after="80" w:before="180"/>
      </w:pPr>
      <w:r>
        <w:rPr>
          <w:b/>
          <w:bCs/>
          <w:i/>
          <w:iCs/>
          <w:color w:val="374151"/>
          <w:sz w:val="22"/>
          <w:szCs w:val="22"/>
        </w:rPr>
        <w:t xml:space="preserve">Restricted Payments</w:t>
      </w:r>
    </w:p>
    <w:p>
      <w:pPr>
        <w:spacing w:after="140" w:line="320"/>
        <w:jc w:val="both"/>
      </w:pPr>
      <w:r>
        <w:rPr>
          <w:color w:val="1F2937"/>
          <w:sz w:val="22"/>
          <w:szCs w:val="22"/>
        </w:rPr>
        <w:t xml:space="preserve">Standard high-yield-style restricted payment covenant — restricts the borrower's ability to make dividends, distributions, or other payments to the sponsor outside defined permitted baskets. Calibrated tighter than typical for the integration period (first 18-36 months) and loosened as the platform demonstrates stabilized performance.</w:t>
      </w:r>
    </w:p>
    <w:p>
      <w:pPr>
        <w:spacing w:after="80" w:before="180"/>
      </w:pPr>
      <w:r>
        <w:rPr>
          <w:b/>
          <w:bCs/>
          <w:i/>
          <w:iCs/>
          <w:color w:val="374151"/>
          <w:sz w:val="22"/>
          <w:szCs w:val="22"/>
        </w:rPr>
        <w:t xml:space="preserve">Equity Contribution Requirement</w:t>
      </w:r>
    </w:p>
    <w:p>
      <w:pPr>
        <w:spacing w:after="140" w:line="320"/>
        <w:jc w:val="both"/>
      </w:pPr>
      <w:r>
        <w:rPr>
          <w:color w:val="1F2937"/>
          <w:sz w:val="22"/>
          <w:szCs w:val="22"/>
        </w:rPr>
        <w:t xml:space="preserve">Requires the sponsor to contribute defined minimum equity to any add-on acquisition. Prevents the borrower from financing add-ons entirely with delayed-draw bond proceeds, which would deteriorate leverage. Typical structure: sponsor must contribute equity equal to at least the lesser of (a) the proportional equity contribution applied to the original platform acquisition, or (b) some defined floor (e.g., 25-30% of add-on enterprise value).</w:t>
      </w:r>
    </w:p>
    <w:p>
      <w:pPr>
        <w:spacing w:after="80" w:before="180"/>
      </w:pPr>
      <w:r>
        <w:rPr>
          <w:b/>
          <w:bCs/>
          <w:i/>
          <w:iCs/>
          <w:color w:val="374151"/>
          <w:sz w:val="22"/>
          <w:szCs w:val="22"/>
        </w:rPr>
        <w:t xml:space="preserve">Delayed Draw Mechanics</w:t>
      </w:r>
    </w:p>
    <w:p>
      <w:pPr>
        <w:spacing w:after="140" w:line="320"/>
        <w:jc w:val="both"/>
      </w:pPr>
      <w:r>
        <w:rPr>
          <w:color w:val="1F2937"/>
          <w:sz w:val="22"/>
          <w:szCs w:val="22"/>
        </w:rPr>
        <w:t xml:space="preserve">When the bond includes delayed draw capacity for add-on acquisitions, the indenture specifies the conditions for each draw: acquisition target meets defined criteria, acquisition coverage test satisfied on pro forma basis, equity contribution requirement satisfied, no events of default outstanding, and other operational conditions. The delayed draw mechanic is operationally heavy — each draw requires verification through the same diligence process as the original acquisition, scaled down.</w:t>
      </w:r>
    </w:p>
    <w:p>
      <w:pPr>
        <w:spacing w:after="80" w:before="180"/>
      </w:pPr>
      <w:r>
        <w:rPr>
          <w:b/>
          <w:bCs/>
          <w:i/>
          <w:iCs/>
          <w:color w:val="374151"/>
          <w:sz w:val="22"/>
          <w:szCs w:val="22"/>
        </w:rPr>
        <w:t xml:space="preserve">Synergy Verification</w:t>
      </w:r>
    </w:p>
    <w:p>
      <w:pPr>
        <w:spacing w:after="140" w:line="320"/>
        <w:jc w:val="both"/>
      </w:pPr>
      <w:r>
        <w:rPr>
          <w:color w:val="1F2937"/>
          <w:sz w:val="22"/>
          <w:szCs w:val="22"/>
        </w:rPr>
        <w:t xml:space="preserve">When pro forma calculations include identified synergies, the indenture defines how synergies are verified. Typical structure: synergies must be 'reasonably identifiable and quantifiable,' supported by a buy-side QofE, capped at defined percentage of trailing EBITDA (commonly 15-25%), and subject to specific itemization. The synergy verification provision prevents the borrower from inflating pro forma EBITDA to satisfy coverage tests.</w:t>
      </w:r>
    </w:p>
    <w:p>
      <w:pPr>
        <w:spacing w:after="80" w:before="180"/>
      </w:pPr>
      <w:r>
        <w:rPr>
          <w:b/>
          <w:bCs/>
          <w:i/>
          <w:iCs/>
          <w:color w:val="374151"/>
          <w:sz w:val="22"/>
          <w:szCs w:val="22"/>
        </w:rPr>
        <w:t xml:space="preserve">Integration Period Covenant Holiday</w:t>
      </w:r>
    </w:p>
    <w:p>
      <w:pPr>
        <w:spacing w:after="140" w:line="320"/>
        <w:jc w:val="both"/>
      </w:pPr>
      <w:r>
        <w:rPr>
          <w:color w:val="1F2937"/>
          <w:sz w:val="22"/>
          <w:szCs w:val="22"/>
        </w:rPr>
        <w:t xml:space="preserve">Many M&amp;A acquisition bond indentures provide a defined covenant holiday during the integration period — a window (typically 18-36 months from close) during which certain operational covenants are tested at relaxed thresholds or not tested at all. The holiday acknowledges that integration disrupts normal operating performance and that the platform cannot be expected to hit steady-state metrics during the window. Coverage tests still apply (because the bondholders' debt service is at risk) but operational metrics may be relaxed.</w:t>
      </w:r>
    </w:p>
    <w:p>
      <w:pPr>
        <w:spacing w:after="80" w:before="180"/>
      </w:pPr>
      <w:r>
        <w:rPr>
          <w:b/>
          <w:bCs/>
          <w:i/>
          <w:iCs/>
          <w:color w:val="374151"/>
          <w:sz w:val="22"/>
          <w:szCs w:val="22"/>
        </w:rPr>
        <w:t xml:space="preserve">Change of Control</w:t>
      </w:r>
    </w:p>
    <w:p>
      <w:pPr>
        <w:spacing w:after="140" w:line="320"/>
        <w:jc w:val="both"/>
      </w:pPr>
      <w:r>
        <w:rPr>
          <w:color w:val="1F2937"/>
          <w:sz w:val="22"/>
          <w:szCs w:val="22"/>
        </w:rPr>
        <w:t xml:space="preserve">Standard high-yield change of control put. If the sponsor sells the platform (other than to a defined permitted holder), bondholders have the right to put the bonds back at 101 (typical) or par. The change of control provision is the bondholders' protection against the sponsor's exit changing the credit profile in ways the bondholders did not underwrite.</w:t>
      </w:r>
    </w:p>
    <w:p>
      <w:pPr>
        <w:spacing w:after="80" w:before="180"/>
      </w:pPr>
      <w:r>
        <w:rPr>
          <w:b/>
          <w:bCs/>
          <w:i/>
          <w:iCs/>
          <w:color w:val="374151"/>
          <w:sz w:val="22"/>
          <w:szCs w:val="22"/>
        </w:rPr>
        <w:t xml:space="preserve">Asset Sale Provisions</w:t>
      </w:r>
    </w:p>
    <w:p>
      <w:pPr>
        <w:spacing w:after="140" w:line="320"/>
        <w:jc w:val="both"/>
      </w:pPr>
      <w:r>
        <w:rPr>
          <w:color w:val="1F2937"/>
          <w:sz w:val="22"/>
          <w:szCs w:val="22"/>
        </w:rPr>
        <w:t xml:space="preserve">Defines what proceeds from asset sales must be applied to bond debt service or reinvestment. Asset sales above defined thresholds require either (a) reinvestment in the platform within defined timeframes or (b) application to bond debt service through asset sale offers.</w:t>
      </w:r>
    </w:p>
    <w:p>
      <w:pPr>
        <w:pStyle w:val="Heading3"/>
        <w:spacing w:after="120" w:before="240"/>
      </w:pPr>
      <w:r>
        <w:rPr>
          <w:b/>
          <w:bCs/>
          <w:color w:val="374151"/>
          <w:sz w:val="24"/>
          <w:szCs w:val="24"/>
        </w:rPr>
        <w:t xml:space="preserve">4.2 The Acquisition Agreement (SPA / APA / Merger Agreement)</w:t>
      </w:r>
    </w:p>
    <w:p>
      <w:pPr>
        <w:spacing w:after="140" w:line="320"/>
        <w:jc w:val="both"/>
      </w:pPr>
      <w:r>
        <w:rPr>
          <w:color w:val="1F2937"/>
          <w:sz w:val="22"/>
          <w:szCs w:val="22"/>
        </w:rPr>
        <w:t xml:space="preserve">The definitive purchase agreement between the acquirer (borrower) and the target's selling shareholders is not a bond document — it is the M&amp;A transaction document. However, Nest's bond execution requires close coordination with the definitive agreement because the bond's terms depend on what the definitive agreement actually says. Key coordination points:</w:t>
      </w:r>
    </w:p>
    <w:p>
      <w:pPr>
        <w:pStyle w:val="ListParagraph"/>
        <w:numPr>
          <w:ilvl w:val="0"/>
          <w:numId w:val="2"/>
        </w:numPr>
        <w:spacing w:after="80" w:line="300"/>
      </w:pPr>
      <w:r>
        <w:rPr>
          <w:color w:val="1F2937"/>
          <w:sz w:val="22"/>
          <w:szCs w:val="22"/>
        </w:rPr>
        <w:t xml:space="preserve">The financing-out condition — the definitive agreement must permit the buyer to terminate if bond financing fails. Nest's commitment letter and the financing-out provision must be mutually consistent.</w:t>
      </w:r>
    </w:p>
    <w:p>
      <w:pPr>
        <w:pStyle w:val="ListParagraph"/>
        <w:numPr>
          <w:ilvl w:val="0"/>
          <w:numId w:val="2"/>
        </w:numPr>
        <w:spacing w:after="80" w:line="300"/>
      </w:pPr>
      <w:r>
        <w:rPr>
          <w:color w:val="1F2937"/>
          <w:sz w:val="22"/>
          <w:szCs w:val="22"/>
        </w:rPr>
        <w:t xml:space="preserve">Working capital adjustment mechanics — the bond's proceeds delivery and the working capital true-up post-close must be coordinated</w:t>
      </w:r>
    </w:p>
    <w:p>
      <w:pPr>
        <w:pStyle w:val="ListParagraph"/>
        <w:numPr>
          <w:ilvl w:val="0"/>
          <w:numId w:val="2"/>
        </w:numPr>
        <w:spacing w:after="80" w:line="300"/>
      </w:pPr>
      <w:r>
        <w:rPr>
          <w:color w:val="1F2937"/>
          <w:sz w:val="22"/>
          <w:szCs w:val="22"/>
        </w:rPr>
        <w:t xml:space="preserve">Escrow provisions — closing escrow, indemnity escrow, and other escrowed funds must be consistent with bond closing mechanics</w:t>
      </w:r>
    </w:p>
    <w:p>
      <w:pPr>
        <w:pStyle w:val="ListParagraph"/>
        <w:numPr>
          <w:ilvl w:val="0"/>
          <w:numId w:val="2"/>
        </w:numPr>
        <w:spacing w:after="80" w:line="300"/>
      </w:pPr>
      <w:r>
        <w:rPr>
          <w:color w:val="1F2937"/>
          <w:sz w:val="22"/>
          <w:szCs w:val="22"/>
        </w:rPr>
        <w:t xml:space="preserve">Closing condition list — bond closing typically conditions on definitive agreement closing, and definitive agreement closing typically conditions on bond financing availability</w:t>
      </w:r>
    </w:p>
    <w:p>
      <w:pPr>
        <w:pStyle w:val="ListParagraph"/>
        <w:numPr>
          <w:ilvl w:val="0"/>
          <w:numId w:val="2"/>
        </w:numPr>
        <w:spacing w:after="80" w:line="300"/>
      </w:pPr>
      <w:r>
        <w:rPr>
          <w:color w:val="1F2937"/>
          <w:sz w:val="22"/>
          <w:szCs w:val="22"/>
        </w:rPr>
        <w:t xml:space="preserve">Reps and warranties — material breaches discovered between signing and close affect both the M&amp;A close and the bond close</w:t>
      </w:r>
    </w:p>
    <w:p>
      <w:pPr>
        <w:pStyle w:val="Heading3"/>
        <w:spacing w:after="120" w:before="240"/>
      </w:pPr>
      <w:r>
        <w:rPr>
          <w:b/>
          <w:bCs/>
          <w:color w:val="374151"/>
          <w:sz w:val="24"/>
          <w:szCs w:val="24"/>
        </w:rPr>
        <w:t xml:space="preserve">4.3 The Commitment Letter</w:t>
      </w:r>
    </w:p>
    <w:p>
      <w:pPr>
        <w:spacing w:after="140" w:line="320"/>
        <w:jc w:val="both"/>
      </w:pPr>
      <w:r>
        <w:rPr>
          <w:color w:val="1F2937"/>
          <w:sz w:val="22"/>
          <w:szCs w:val="22"/>
        </w:rPr>
        <w:t xml:space="preserve">The commitment letter is the document by which Nest (together with the BD partner) commits to provide bond financing. Issued at or shortly after LOI signing. Key contents:</w:t>
      </w:r>
    </w:p>
    <w:p>
      <w:pPr>
        <w:pStyle w:val="ListParagraph"/>
        <w:numPr>
          <w:ilvl w:val="0"/>
          <w:numId w:val="2"/>
        </w:numPr>
        <w:spacing w:after="80" w:line="300"/>
      </w:pPr>
      <w:r>
        <w:rPr>
          <w:color w:val="1F2937"/>
          <w:sz w:val="22"/>
          <w:szCs w:val="22"/>
        </w:rPr>
        <w:t xml:space="preserve">Amount of the commitment — the bond's principal amount</w:t>
      </w:r>
    </w:p>
    <w:p>
      <w:pPr>
        <w:pStyle w:val="ListParagraph"/>
        <w:numPr>
          <w:ilvl w:val="0"/>
          <w:numId w:val="2"/>
        </w:numPr>
        <w:spacing w:after="80" w:line="300"/>
      </w:pPr>
      <w:r>
        <w:rPr>
          <w:color w:val="1F2937"/>
          <w:sz w:val="22"/>
          <w:szCs w:val="22"/>
        </w:rPr>
        <w:t xml:space="preserve">Structure of the bond — tranching, security, tax-status, key terms</w:t>
      </w:r>
    </w:p>
    <w:p>
      <w:pPr>
        <w:pStyle w:val="ListParagraph"/>
        <w:numPr>
          <w:ilvl w:val="0"/>
          <w:numId w:val="2"/>
        </w:numPr>
        <w:spacing w:after="80" w:line="300"/>
      </w:pPr>
      <w:r>
        <w:rPr>
          <w:color w:val="1F2937"/>
          <w:sz w:val="22"/>
          <w:szCs w:val="22"/>
        </w:rPr>
        <w:t xml:space="preserve">Pricing — coupon range, fees, and any pricing-related conditions</w:t>
      </w:r>
    </w:p>
    <w:p>
      <w:pPr>
        <w:pStyle w:val="ListParagraph"/>
        <w:numPr>
          <w:ilvl w:val="0"/>
          <w:numId w:val="2"/>
        </w:numPr>
        <w:spacing w:after="80" w:line="300"/>
      </w:pPr>
      <w:r>
        <w:rPr>
          <w:color w:val="1F2937"/>
          <w:sz w:val="22"/>
          <w:szCs w:val="22"/>
        </w:rPr>
        <w:t xml:space="preserve">Conditions to funding — diligence completion, definitive agreement signing, no MAC, no events of default, all regulatory approvals</w:t>
      </w:r>
    </w:p>
    <w:p>
      <w:pPr>
        <w:pStyle w:val="ListParagraph"/>
        <w:numPr>
          <w:ilvl w:val="0"/>
          <w:numId w:val="2"/>
        </w:numPr>
        <w:spacing w:after="80" w:line="300"/>
      </w:pPr>
      <w:r>
        <w:rPr>
          <w:color w:val="1F2937"/>
          <w:sz w:val="22"/>
          <w:szCs w:val="22"/>
        </w:rPr>
        <w:t xml:space="preserve">Market flex provisions — the BD partner's right to adjust pricing within defined ranges to market the bonds successfully</w:t>
      </w:r>
    </w:p>
    <w:p>
      <w:pPr>
        <w:pStyle w:val="ListParagraph"/>
        <w:numPr>
          <w:ilvl w:val="0"/>
          <w:numId w:val="2"/>
        </w:numPr>
        <w:spacing w:after="80" w:line="300"/>
      </w:pPr>
      <w:r>
        <w:rPr>
          <w:color w:val="1F2937"/>
          <w:sz w:val="22"/>
          <w:szCs w:val="22"/>
        </w:rPr>
        <w:t xml:space="preserve">Expiration date — the commitment expires by defined date if close has not occurred</w:t>
      </w:r>
    </w:p>
    <w:p>
      <w:pPr>
        <w:pStyle w:val="ListParagraph"/>
        <w:numPr>
          <w:ilvl w:val="0"/>
          <w:numId w:val="2"/>
        </w:numPr>
        <w:spacing w:after="80" w:line="300"/>
      </w:pPr>
      <w:r>
        <w:rPr>
          <w:color w:val="1F2937"/>
          <w:sz w:val="22"/>
          <w:szCs w:val="22"/>
        </w:rPr>
        <w:t xml:space="preserve">Engagement letter terms — Nest's structuring fee, expense reimbursement, exclusivity</w:t>
      </w:r>
    </w:p>
    <w:p>
      <w:pPr>
        <w:spacing w:after="140" w:line="320"/>
        <w:jc w:val="both"/>
      </w:pPr>
      <w:r>
        <w:rPr>
          <w:color w:val="1F2937"/>
          <w:sz w:val="22"/>
          <w:szCs w:val="22"/>
        </w:rPr>
        <w:t xml:space="preserve">The commitment letter is what gives the acquirer confidence to invest in diligence and definitive agreement negotiation. Without a commitment letter, the acquirer is exposed if financing falls through. The commitment letter is also what the seller relies on to accept the acquirer's bid — the seller wants assurance that the deal will actually close.</w:t>
      </w:r>
    </w:p>
    <w:p>
      <w:pPr>
        <w:pStyle w:val="Heading3"/>
        <w:spacing w:after="120" w:before="240"/>
      </w:pPr>
      <w:r>
        <w:rPr>
          <w:b/>
          <w:bCs/>
          <w:color w:val="374151"/>
          <w:sz w:val="24"/>
          <w:szCs w:val="24"/>
        </w:rPr>
        <w:t xml:space="preserve">4.4 The Sources and Uses Schedule</w:t>
      </w:r>
    </w:p>
    <w:p>
      <w:pPr>
        <w:spacing w:after="140" w:line="320"/>
        <w:jc w:val="both"/>
      </w:pPr>
      <w:r>
        <w:rPr>
          <w:color w:val="1F2937"/>
          <w:sz w:val="22"/>
          <w:szCs w:val="22"/>
        </w:rPr>
        <w:t xml:space="preserve">The Sources and Uses (S&amp;U) schedule documents how the purchase price is funded and applied. Standard M&amp;A acquisition S&amp;U structure:</w:t>
      </w:r>
    </w:p>
    <w:p>
      <w:pPr>
        <w:spacing w:after="80" w:before="180"/>
      </w:pPr>
      <w:r>
        <w:rPr>
          <w:b/>
          <w:bCs/>
          <w:i/>
          <w:iCs/>
          <w:color w:val="374151"/>
          <w:sz w:val="22"/>
          <w:szCs w:val="22"/>
        </w:rPr>
        <w:t xml:space="preserve">Sources</w:t>
      </w:r>
    </w:p>
    <w:p>
      <w:pPr>
        <w:pStyle w:val="ListParagraph"/>
        <w:numPr>
          <w:ilvl w:val="0"/>
          <w:numId w:val="2"/>
        </w:numPr>
        <w:spacing w:after="80" w:line="300"/>
      </w:pPr>
      <w:r>
        <w:rPr>
          <w:color w:val="1F2937"/>
          <w:sz w:val="22"/>
          <w:szCs w:val="22"/>
        </w:rPr>
        <w:t xml:space="preserve">Senior secured bond — Nest's primary instrument</w:t>
      </w:r>
    </w:p>
    <w:p>
      <w:pPr>
        <w:pStyle w:val="ListParagraph"/>
        <w:numPr>
          <w:ilvl w:val="0"/>
          <w:numId w:val="2"/>
        </w:numPr>
        <w:spacing w:after="80" w:line="300"/>
      </w:pPr>
      <w:r>
        <w:rPr>
          <w:color w:val="1F2937"/>
          <w:sz w:val="22"/>
          <w:szCs w:val="22"/>
        </w:rPr>
        <w:t xml:space="preserve">Junior debt (if applicable) — subordinate bond tranche, mezzanine, seller financing</w:t>
      </w:r>
    </w:p>
    <w:p>
      <w:pPr>
        <w:pStyle w:val="ListParagraph"/>
        <w:numPr>
          <w:ilvl w:val="0"/>
          <w:numId w:val="2"/>
        </w:numPr>
        <w:spacing w:after="80" w:line="300"/>
      </w:pPr>
      <w:r>
        <w:rPr>
          <w:color w:val="1F2937"/>
          <w:sz w:val="22"/>
          <w:szCs w:val="22"/>
        </w:rPr>
        <w:t xml:space="preserve">Sponsor equity check — the cash contribution from the sponsor</w:t>
      </w:r>
    </w:p>
    <w:p>
      <w:pPr>
        <w:pStyle w:val="ListParagraph"/>
        <w:numPr>
          <w:ilvl w:val="0"/>
          <w:numId w:val="2"/>
        </w:numPr>
        <w:spacing w:after="80" w:line="300"/>
      </w:pPr>
      <w:r>
        <w:rPr>
          <w:color w:val="1F2937"/>
          <w:sz w:val="22"/>
          <w:szCs w:val="22"/>
        </w:rPr>
        <w:t xml:space="preserve">Rollover equity — existing shareholders rolling into post-close capital structure</w:t>
      </w:r>
    </w:p>
    <w:p>
      <w:pPr>
        <w:pStyle w:val="ListParagraph"/>
        <w:numPr>
          <w:ilvl w:val="0"/>
          <w:numId w:val="2"/>
        </w:numPr>
        <w:spacing w:after="80" w:line="300"/>
      </w:pPr>
      <w:r>
        <w:rPr>
          <w:color w:val="1F2937"/>
          <w:sz w:val="22"/>
          <w:szCs w:val="22"/>
        </w:rPr>
        <w:t xml:space="preserve">Co-investment — LP or strategic partner equity</w:t>
      </w:r>
    </w:p>
    <w:p>
      <w:pPr>
        <w:pStyle w:val="ListParagraph"/>
        <w:numPr>
          <w:ilvl w:val="0"/>
          <w:numId w:val="2"/>
        </w:numPr>
        <w:spacing w:after="80" w:line="300"/>
      </w:pPr>
      <w:r>
        <w:rPr>
          <w:color w:val="1F2937"/>
          <w:sz w:val="22"/>
          <w:szCs w:val="22"/>
        </w:rPr>
        <w:t xml:space="preserve">Target cash at close — cash on the target's balance sheet that funds the transaction (the 'cash-free, debt-free' adjustment)</w:t>
      </w:r>
    </w:p>
    <w:p>
      <w:pPr>
        <w:spacing w:after="80" w:before="180"/>
      </w:pPr>
      <w:r>
        <w:rPr>
          <w:b/>
          <w:bCs/>
          <w:i/>
          <w:iCs/>
          <w:color w:val="374151"/>
          <w:sz w:val="22"/>
          <w:szCs w:val="22"/>
        </w:rPr>
        <w:t xml:space="preserve">Uses</w:t>
      </w:r>
    </w:p>
    <w:p>
      <w:pPr>
        <w:pStyle w:val="ListParagraph"/>
        <w:numPr>
          <w:ilvl w:val="0"/>
          <w:numId w:val="2"/>
        </w:numPr>
        <w:spacing w:after="80" w:line="300"/>
      </w:pPr>
      <w:r>
        <w:rPr>
          <w:color w:val="1F2937"/>
          <w:sz w:val="22"/>
          <w:szCs w:val="22"/>
        </w:rPr>
        <w:t xml:space="preserve">Equity purchase price — paid to selling shareholders</w:t>
      </w:r>
    </w:p>
    <w:p>
      <w:pPr>
        <w:pStyle w:val="ListParagraph"/>
        <w:numPr>
          <w:ilvl w:val="0"/>
          <w:numId w:val="2"/>
        </w:numPr>
        <w:spacing w:after="80" w:line="300"/>
      </w:pPr>
      <w:r>
        <w:rPr>
          <w:color w:val="1F2937"/>
          <w:sz w:val="22"/>
          <w:szCs w:val="22"/>
        </w:rPr>
        <w:t xml:space="preserve">Refinancing of target debt — paid to target's existing lenders at close</w:t>
      </w:r>
    </w:p>
    <w:p>
      <w:pPr>
        <w:pStyle w:val="ListParagraph"/>
        <w:numPr>
          <w:ilvl w:val="0"/>
          <w:numId w:val="2"/>
        </w:numPr>
        <w:spacing w:after="80" w:line="300"/>
      </w:pPr>
      <w:r>
        <w:rPr>
          <w:color w:val="1F2937"/>
          <w:sz w:val="22"/>
          <w:szCs w:val="22"/>
        </w:rPr>
        <w:t xml:space="preserve">Transaction expenses — legal, accounting, advisory, financing fees</w:t>
      </w:r>
    </w:p>
    <w:p>
      <w:pPr>
        <w:pStyle w:val="ListParagraph"/>
        <w:numPr>
          <w:ilvl w:val="0"/>
          <w:numId w:val="2"/>
        </w:numPr>
        <w:spacing w:after="80" w:line="300"/>
      </w:pPr>
      <w:r>
        <w:rPr>
          <w:color w:val="1F2937"/>
          <w:sz w:val="22"/>
          <w:szCs w:val="22"/>
        </w:rPr>
        <w:t xml:space="preserve">Closing escrow — purchase price funds held in escrow pending close</w:t>
      </w:r>
    </w:p>
    <w:p>
      <w:pPr>
        <w:pStyle w:val="ListParagraph"/>
        <w:numPr>
          <w:ilvl w:val="0"/>
          <w:numId w:val="2"/>
        </w:numPr>
        <w:spacing w:after="80" w:line="300"/>
      </w:pPr>
      <w:r>
        <w:rPr>
          <w:color w:val="1F2937"/>
          <w:sz w:val="22"/>
          <w:szCs w:val="22"/>
        </w:rPr>
        <w:t xml:space="preserve">Indemnity escrow — seller proceeds held to backstop R&amp;W claims</w:t>
      </w:r>
    </w:p>
    <w:p>
      <w:pPr>
        <w:pStyle w:val="ListParagraph"/>
        <w:numPr>
          <w:ilvl w:val="0"/>
          <w:numId w:val="2"/>
        </w:numPr>
        <w:spacing w:after="80" w:line="300"/>
      </w:pPr>
      <w:r>
        <w:rPr>
          <w:color w:val="1F2937"/>
          <w:sz w:val="22"/>
          <w:szCs w:val="22"/>
        </w:rPr>
        <w:t xml:space="preserve">Working capital target adjustment — any pre-close working capital adjustment</w:t>
      </w:r>
    </w:p>
    <w:p>
      <w:pPr>
        <w:pStyle w:val="ListParagraph"/>
        <w:numPr>
          <w:ilvl w:val="0"/>
          <w:numId w:val="2"/>
        </w:numPr>
        <w:spacing w:after="80" w:line="300"/>
      </w:pPr>
      <w:r>
        <w:rPr>
          <w:color w:val="1F2937"/>
          <w:sz w:val="22"/>
          <w:szCs w:val="22"/>
        </w:rPr>
        <w:t xml:space="preserve">Capitalized interest reserve — bond interest reserve for the integration period (if structure includes Cap-I)</w:t>
      </w:r>
    </w:p>
    <w:p>
      <w:pPr>
        <w:pStyle w:val="ListParagraph"/>
        <w:numPr>
          <w:ilvl w:val="0"/>
          <w:numId w:val="2"/>
        </w:numPr>
        <w:spacing w:after="80" w:line="300"/>
      </w:pPr>
      <w:r>
        <w:rPr>
          <w:color w:val="1F2937"/>
          <w:sz w:val="22"/>
          <w:szCs w:val="22"/>
        </w:rPr>
        <w:t xml:space="preserve">Debt service reserve fund — DSRF funded at close</w:t>
      </w:r>
    </w:p>
    <w:p>
      <w:pPr>
        <w:pStyle w:val="ListParagraph"/>
        <w:numPr>
          <w:ilvl w:val="0"/>
          <w:numId w:val="2"/>
        </w:numPr>
        <w:spacing w:after="80" w:line="300"/>
      </w:pPr>
      <w:r>
        <w:rPr>
          <w:color w:val="1F2937"/>
          <w:sz w:val="22"/>
          <w:szCs w:val="22"/>
        </w:rPr>
        <w:t xml:space="preserve">Cost of issuance fund — bond closing costs and ongoing administration fees</w:t>
      </w:r>
    </w:p>
    <w:p>
      <w:pPr>
        <w:spacing w:after="140" w:line="320"/>
        <w:jc w:val="both"/>
      </w:pPr>
      <w:r>
        <w:rPr>
          <w:color w:val="1F2937"/>
          <w:sz w:val="22"/>
          <w:szCs w:val="22"/>
        </w:rPr>
        <w:t xml:space="preserve">The S&amp;U schedule must balance — total sources equal total uses. The S&amp;U schedule is a key working document throughout the transaction and a closing deliverable in the bond document set.</w:t>
      </w:r>
    </w:p>
    <w:p>
      <w:pPr>
        <w:pStyle w:val="Heading3"/>
        <w:spacing w:after="120" w:before="240"/>
      </w:pPr>
      <w:r>
        <w:rPr>
          <w:b/>
          <w:bCs/>
          <w:color w:val="374151"/>
          <w:sz w:val="24"/>
          <w:szCs w:val="24"/>
        </w:rPr>
        <w:t xml:space="preserve">4.5 The Quality of Earnings Report</w:t>
      </w:r>
    </w:p>
    <w:p>
      <w:pPr>
        <w:spacing w:after="140" w:line="320"/>
        <w:jc w:val="both"/>
      </w:pPr>
      <w:r>
        <w:rPr>
          <w:color w:val="1F2937"/>
          <w:sz w:val="22"/>
          <w:szCs w:val="22"/>
        </w:rPr>
        <w:t xml:space="preserve">The QofE is produced by a CPA firm engaged by the acquirer. Standard QofE firms in the middle market: Riveron, RSM, Crowe, BDO, Eisner Amper, FTI Consulting, Alvarez &amp; Marsal, BRG, Stout, CohnReznick, and various regional firms. Nest's bond underwriting depends substantially on the QofE — the credit memo cites the QofE's findings, the bond sizing relies on the QofE's EBITDA, and the rating agencies will rely on the QofE in their analysis.</w:t>
      </w:r>
    </w:p>
    <w:p>
      <w:pPr>
        <w:spacing w:after="140" w:line="320"/>
        <w:jc w:val="both"/>
      </w:pPr>
      <w:r>
        <w:rPr>
          <w:color w:val="1F2937"/>
          <w:sz w:val="22"/>
          <w:szCs w:val="22"/>
        </w:rPr>
        <w:t xml:space="preserve">The QofE typically covers:</w:t>
      </w:r>
    </w:p>
    <w:p>
      <w:pPr>
        <w:pStyle w:val="ListParagraph"/>
        <w:numPr>
          <w:ilvl w:val="0"/>
          <w:numId w:val="2"/>
        </w:numPr>
        <w:spacing w:after="80" w:line="300"/>
      </w:pPr>
      <w:r>
        <w:rPr>
          <w:color w:val="1F2937"/>
          <w:sz w:val="22"/>
          <w:szCs w:val="22"/>
        </w:rPr>
        <w:t xml:space="preserve">Quality of revenue — recognition, customer mix, contract terms, recurring vs non-recurring</w:t>
      </w:r>
    </w:p>
    <w:p>
      <w:pPr>
        <w:pStyle w:val="ListParagraph"/>
        <w:numPr>
          <w:ilvl w:val="0"/>
          <w:numId w:val="2"/>
        </w:numPr>
        <w:spacing w:after="80" w:line="300"/>
      </w:pPr>
      <w:r>
        <w:rPr>
          <w:color w:val="1F2937"/>
          <w:sz w:val="22"/>
          <w:szCs w:val="22"/>
        </w:rPr>
        <w:t xml:space="preserve">Quality of earnings — adjusted EBITDA build, normalization adjustments, run-rate adjustments, synergy identification</w:t>
      </w:r>
    </w:p>
    <w:p>
      <w:pPr>
        <w:pStyle w:val="ListParagraph"/>
        <w:numPr>
          <w:ilvl w:val="0"/>
          <w:numId w:val="2"/>
        </w:numPr>
        <w:spacing w:after="80" w:line="300"/>
      </w:pPr>
      <w:r>
        <w:rPr>
          <w:color w:val="1F2937"/>
          <w:sz w:val="22"/>
          <w:szCs w:val="22"/>
        </w:rPr>
        <w:t xml:space="preserve">Quality of working capital — receivables aging, payables timing, inventory turnover, normalized working capital level</w:t>
      </w:r>
    </w:p>
    <w:p>
      <w:pPr>
        <w:pStyle w:val="ListParagraph"/>
        <w:numPr>
          <w:ilvl w:val="0"/>
          <w:numId w:val="2"/>
        </w:numPr>
        <w:spacing w:after="80" w:line="300"/>
      </w:pPr>
      <w:r>
        <w:rPr>
          <w:color w:val="1F2937"/>
          <w:sz w:val="22"/>
          <w:szCs w:val="22"/>
        </w:rPr>
        <w:t xml:space="preserve">Quality of cash flow — operating cash flow vs reported earnings, working capital impact, capex requirements</w:t>
      </w:r>
    </w:p>
    <w:p>
      <w:pPr>
        <w:pStyle w:val="ListParagraph"/>
        <w:numPr>
          <w:ilvl w:val="0"/>
          <w:numId w:val="2"/>
        </w:numPr>
        <w:spacing w:after="80" w:line="300"/>
      </w:pPr>
      <w:r>
        <w:rPr>
          <w:color w:val="1F2937"/>
          <w:sz w:val="22"/>
          <w:szCs w:val="22"/>
        </w:rPr>
        <w:t xml:space="preserve">Net debt at close — debt obligations, capital lease obligations, deferred consideration, other debt-like items</w:t>
      </w:r>
    </w:p>
    <w:p>
      <w:pPr>
        <w:pStyle w:val="ListParagraph"/>
        <w:numPr>
          <w:ilvl w:val="0"/>
          <w:numId w:val="2"/>
        </w:numPr>
        <w:spacing w:after="80" w:line="300"/>
      </w:pPr>
      <w:r>
        <w:rPr>
          <w:color w:val="1F2937"/>
          <w:sz w:val="22"/>
          <w:szCs w:val="22"/>
        </w:rPr>
        <w:t xml:space="preserve">Tax exposure — tax positions, IRS examinations, sales and use tax, transfer pricing</w:t>
      </w:r>
    </w:p>
    <w:p>
      <w:pPr>
        <w:pStyle w:val="ListParagraph"/>
        <w:numPr>
          <w:ilvl w:val="0"/>
          <w:numId w:val="2"/>
        </w:numPr>
        <w:spacing w:after="80" w:line="300"/>
      </w:pPr>
      <w:r>
        <w:rPr>
          <w:color w:val="1F2937"/>
          <w:sz w:val="22"/>
          <w:szCs w:val="22"/>
        </w:rPr>
        <w:t xml:space="preserve">Key risks identified — items that could affect post-close performance</w:t>
      </w:r>
    </w:p>
    <w:p>
      <w:pPr>
        <w:pStyle w:val="Heading3"/>
        <w:spacing w:after="120" w:before="240"/>
      </w:pPr>
      <w:r>
        <w:rPr>
          <w:b/>
          <w:bCs/>
          <w:color w:val="374151"/>
          <w:sz w:val="24"/>
          <w:szCs w:val="24"/>
        </w:rPr>
        <w:t xml:space="preserve">4.6 The Sponsor Support Documents (Where Applicable)</w:t>
      </w:r>
    </w:p>
    <w:p>
      <w:pPr>
        <w:spacing w:after="140" w:line="320"/>
        <w:jc w:val="both"/>
      </w:pPr>
      <w:r>
        <w:rPr>
          <w:color w:val="1F2937"/>
          <w:sz w:val="22"/>
          <w:szCs w:val="22"/>
        </w:rPr>
        <w:t xml:space="preserve">For cash-collateralized LC structures and sponsor-supported transactions, additional documents:</w:t>
      </w:r>
    </w:p>
    <w:p>
      <w:pPr>
        <w:pStyle w:val="ListParagraph"/>
        <w:numPr>
          <w:ilvl w:val="0"/>
          <w:numId w:val="2"/>
        </w:numPr>
        <w:spacing w:after="80" w:line="300"/>
      </w:pPr>
      <w:r>
        <w:rPr>
          <w:color w:val="1F2937"/>
          <w:sz w:val="22"/>
          <w:szCs w:val="22"/>
        </w:rPr>
        <w:t xml:space="preserve">Letter of Credit — the bank-issued LC wrapping the bond</w:t>
      </w:r>
    </w:p>
    <w:p>
      <w:pPr>
        <w:pStyle w:val="ListParagraph"/>
        <w:numPr>
          <w:ilvl w:val="0"/>
          <w:numId w:val="2"/>
        </w:numPr>
        <w:spacing w:after="80" w:line="300"/>
      </w:pPr>
      <w:r>
        <w:rPr>
          <w:color w:val="1F2937"/>
          <w:sz w:val="22"/>
          <w:szCs w:val="22"/>
        </w:rPr>
        <w:t xml:space="preserve">Reimbursement Agreement — the sponsor's agreement to reimburse the LC bank if drawn</w:t>
      </w:r>
    </w:p>
    <w:p>
      <w:pPr>
        <w:pStyle w:val="ListParagraph"/>
        <w:numPr>
          <w:ilvl w:val="0"/>
          <w:numId w:val="2"/>
        </w:numPr>
        <w:spacing w:after="80" w:line="300"/>
      </w:pPr>
      <w:r>
        <w:rPr>
          <w:color w:val="1F2937"/>
          <w:sz w:val="22"/>
          <w:szCs w:val="22"/>
        </w:rPr>
        <w:t xml:space="preserve">Cash Collateral Account Agreement — the controlled account holding the sponsor's collateral cash</w:t>
      </w:r>
    </w:p>
    <w:p>
      <w:pPr>
        <w:pStyle w:val="ListParagraph"/>
        <w:numPr>
          <w:ilvl w:val="0"/>
          <w:numId w:val="2"/>
        </w:numPr>
        <w:spacing w:after="80" w:line="300"/>
      </w:pPr>
      <w:r>
        <w:rPr>
          <w:color w:val="1F2937"/>
          <w:sz w:val="22"/>
          <w:szCs w:val="22"/>
        </w:rPr>
        <w:t xml:space="preserve">Sponsor Support Agreement (if applicable) — contractual sponsor support for defined trigger events</w:t>
      </w:r>
    </w:p>
    <w:p>
      <w:pPr>
        <w:pStyle w:val="ListParagraph"/>
        <w:numPr>
          <w:ilvl w:val="0"/>
          <w:numId w:val="2"/>
        </w:numPr>
        <w:spacing w:after="80" w:line="300"/>
      </w:pPr>
      <w:r>
        <w:rPr>
          <w:color w:val="1F2937"/>
          <w:sz w:val="22"/>
          <w:szCs w:val="22"/>
        </w:rPr>
        <w:t xml:space="preserve">Sponsor Equity Commitment Letter — irrevocable commitment to fund the sponsor's equity contribution at close</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5. The Math — Valuation, Sizing, and Leverage</w:t>
      </w:r>
    </w:p>
    <w:p>
      <w:pPr>
        <w:spacing w:after="140" w:line="320"/>
        <w:jc w:val="both"/>
      </w:pPr>
      <w:r>
        <w:rPr>
          <w:color w:val="1F2937"/>
          <w:sz w:val="22"/>
          <w:szCs w:val="22"/>
        </w:rPr>
        <w:t xml:space="preserve">This section walks the math that defines how an M&amp;A acquisition bond is sized against an acquisition. The math is not unique to Nest — it is the standard math the bond market applies — but applying it requires having all the inputs in one place. The Nest platform's structuring engine runs this math on every M&amp;A acquisition bond deal, with the agent workforce assembling inputs and the principals reviewing outputs.</w:t>
      </w:r>
    </w:p>
    <w:p>
      <w:pPr>
        <w:pStyle w:val="Heading3"/>
        <w:spacing w:after="120" w:before="240"/>
      </w:pPr>
      <w:r>
        <w:rPr>
          <w:b/>
          <w:bCs/>
          <w:color w:val="374151"/>
          <w:sz w:val="24"/>
          <w:szCs w:val="24"/>
        </w:rPr>
        <w:t xml:space="preserve">5.1 The Acquisition Valuation</w:t>
      </w:r>
    </w:p>
    <w:p>
      <w:pPr>
        <w:spacing w:after="140" w:line="320"/>
        <w:jc w:val="both"/>
      </w:pPr>
      <w:r>
        <w:rPr>
          <w:color w:val="1F2937"/>
          <w:sz w:val="22"/>
          <w:szCs w:val="22"/>
        </w:rPr>
        <w:t xml:space="preserve">The starting point is the target's valuation. The valuation is set by the buyer and seller in the LOI and definitive agreement — Nest's bond underwriting does not set the valuation, but the bond sizing depends critically on whether the valuation is reasonable for the sector and the target's profile.</w:t>
      </w:r>
    </w:p>
    <w:p>
      <w:pPr>
        <w:spacing w:after="80" w:before="180"/>
      </w:pPr>
      <w:r>
        <w:rPr>
          <w:b/>
          <w:bCs/>
          <w:i/>
          <w:iCs/>
          <w:color w:val="374151"/>
          <w:sz w:val="22"/>
          <w:szCs w:val="22"/>
        </w:rPr>
        <w:t xml:space="preserve">Valuation as Multiple of Trailing EBITDA</w:t>
      </w:r>
    </w:p>
    <w:p>
      <w:pPr>
        <w:spacing w:after="140" w:line="320"/>
        <w:jc w:val="both"/>
      </w:pPr>
      <w:r>
        <w:rPr>
          <w:color w:val="1F2937"/>
          <w:sz w:val="22"/>
          <w:szCs w:val="22"/>
        </w:rPr>
        <w:t xml:space="preserve">Standard expression: Enterprise Value equals trailing twelve month adjusted EBITDA times the EBITDA multiple. A target with $10M of adjusted EBITDA sold at an 8x multiple has an enterprise value of $80M. The multiple reflects the market's assessment of the target's quality, growth prospects, sector dynamics, and competitive position.</w:t>
      </w:r>
    </w:p>
    <w:p>
      <w:pPr>
        <w:spacing w:after="80" w:before="180"/>
      </w:pPr>
      <w:r>
        <w:rPr>
          <w:b/>
          <w:bCs/>
          <w:i/>
          <w:iCs/>
          <w:color w:val="374151"/>
          <w:sz w:val="22"/>
          <w:szCs w:val="22"/>
        </w:rPr>
        <w:t xml:space="preserve">Multiple Selection by Sector</w:t>
      </w:r>
    </w:p>
    <w:p>
      <w:pPr>
        <w:spacing w:after="140" w:line="320"/>
        <w:jc w:val="both"/>
      </w:pPr>
      <w:r>
        <w:rPr>
          <w:color w:val="1F2937"/>
          <w:sz w:val="22"/>
          <w:szCs w:val="22"/>
        </w:rPr>
        <w:t xml:space="preserve">Sector multiples are the starting point. Within each sector, multiples vary based on:</w:t>
      </w:r>
    </w:p>
    <w:p>
      <w:pPr>
        <w:pStyle w:val="ListParagraph"/>
        <w:numPr>
          <w:ilvl w:val="0"/>
          <w:numId w:val="2"/>
        </w:numPr>
        <w:spacing w:after="80" w:line="300"/>
      </w:pPr>
      <w:r>
        <w:rPr>
          <w:color w:val="1F2937"/>
          <w:sz w:val="22"/>
          <w:szCs w:val="22"/>
        </w:rPr>
        <w:t xml:space="preserve">Scale — larger businesses command higher multiples (the size premium)</w:t>
      </w:r>
    </w:p>
    <w:p>
      <w:pPr>
        <w:pStyle w:val="ListParagraph"/>
        <w:numPr>
          <w:ilvl w:val="0"/>
          <w:numId w:val="2"/>
        </w:numPr>
        <w:spacing w:after="80" w:line="300"/>
      </w:pPr>
      <w:r>
        <w:rPr>
          <w:color w:val="1F2937"/>
          <w:sz w:val="22"/>
          <w:szCs w:val="22"/>
        </w:rPr>
        <w:t xml:space="preserve">Growth — faster-growing businesses command higher multiples</w:t>
      </w:r>
    </w:p>
    <w:p>
      <w:pPr>
        <w:pStyle w:val="ListParagraph"/>
        <w:numPr>
          <w:ilvl w:val="0"/>
          <w:numId w:val="2"/>
        </w:numPr>
        <w:spacing w:after="80" w:line="300"/>
      </w:pPr>
      <w:r>
        <w:rPr>
          <w:color w:val="1F2937"/>
          <w:sz w:val="22"/>
          <w:szCs w:val="22"/>
        </w:rPr>
        <w:t xml:space="preserve">Margins — higher-margin businesses command higher multiples</w:t>
      </w:r>
    </w:p>
    <w:p>
      <w:pPr>
        <w:pStyle w:val="ListParagraph"/>
        <w:numPr>
          <w:ilvl w:val="0"/>
          <w:numId w:val="2"/>
        </w:numPr>
        <w:spacing w:after="80" w:line="300"/>
      </w:pPr>
      <w:r>
        <w:rPr>
          <w:color w:val="1F2937"/>
          <w:sz w:val="22"/>
          <w:szCs w:val="22"/>
        </w:rPr>
        <w:t xml:space="preserve">Recurring revenue — businesses with high recurring revenue command higher multiples</w:t>
      </w:r>
    </w:p>
    <w:p>
      <w:pPr>
        <w:pStyle w:val="ListParagraph"/>
        <w:numPr>
          <w:ilvl w:val="0"/>
          <w:numId w:val="2"/>
        </w:numPr>
        <w:spacing w:after="80" w:line="300"/>
      </w:pPr>
      <w:r>
        <w:rPr>
          <w:color w:val="1F2937"/>
          <w:sz w:val="22"/>
          <w:szCs w:val="22"/>
        </w:rPr>
        <w:t xml:space="preserve">Customer concentration — lower concentration commands higher multiples</w:t>
      </w:r>
    </w:p>
    <w:p>
      <w:pPr>
        <w:pStyle w:val="ListParagraph"/>
        <w:numPr>
          <w:ilvl w:val="0"/>
          <w:numId w:val="2"/>
        </w:numPr>
        <w:spacing w:after="80" w:line="300"/>
      </w:pPr>
      <w:r>
        <w:rPr>
          <w:color w:val="1F2937"/>
          <w:sz w:val="22"/>
          <w:szCs w:val="22"/>
        </w:rPr>
        <w:t xml:space="preserve">Management quality — strong management commands higher multiples</w:t>
      </w:r>
    </w:p>
    <w:p>
      <w:pPr>
        <w:pStyle w:val="ListParagraph"/>
        <w:numPr>
          <w:ilvl w:val="0"/>
          <w:numId w:val="2"/>
        </w:numPr>
        <w:spacing w:after="80" w:line="300"/>
      </w:pPr>
      <w:r>
        <w:rPr>
          <w:color w:val="1F2937"/>
          <w:sz w:val="22"/>
          <w:szCs w:val="22"/>
        </w:rPr>
        <w:t xml:space="preserve">Market position — defensible position commands higher multiples</w:t>
      </w:r>
    </w:p>
    <w:p>
      <w:pPr>
        <w:pStyle w:val="ListParagraph"/>
        <w:numPr>
          <w:ilvl w:val="0"/>
          <w:numId w:val="2"/>
        </w:numPr>
        <w:spacing w:after="80" w:line="300"/>
      </w:pPr>
      <w:r>
        <w:rPr>
          <w:color w:val="1F2937"/>
          <w:sz w:val="22"/>
          <w:szCs w:val="22"/>
        </w:rPr>
        <w:t xml:space="preserve">Comparable transactions — recent precedent transactions in the sector anchor the multiple</w:t>
      </w:r>
    </w:p>
    <w:p>
      <w:pPr>
        <w:spacing w:after="80" w:before="180"/>
      </w:pPr>
      <w:r>
        <w:rPr>
          <w:b/>
          <w:bCs/>
          <w:i/>
          <w:iCs/>
          <w:color w:val="374151"/>
          <w:sz w:val="22"/>
          <w:szCs w:val="22"/>
        </w:rPr>
        <w:t xml:space="preserve">Verification Against Comparable Transactions</w:t>
      </w:r>
    </w:p>
    <w:p>
      <w:pPr>
        <w:spacing w:after="140" w:line="320"/>
        <w:jc w:val="both"/>
      </w:pPr>
      <w:r>
        <w:rPr>
          <w:color w:val="1F2937"/>
          <w:sz w:val="22"/>
          <w:szCs w:val="22"/>
        </w:rPr>
        <w:t xml:space="preserve">Nest's platform pulls comparable transaction data from public sources (S&amp;P Capital IQ public data, EDGAR filings of public acquirers, press releases of completed transactions, sector publications). The agent workforce assembles a comparable transactions table for each deal showing recent transactions in the target's sector at similar scale, with the multiples paid and the strategic context. The comparable transactions analysis informs whether the valuation in the LOI is in line with market or stretched.</w:t>
      </w:r>
    </w:p>
    <w:p>
      <w:pPr>
        <w:pStyle w:val="Heading3"/>
        <w:spacing w:after="120" w:before="240"/>
      </w:pPr>
      <w:r>
        <w:rPr>
          <w:b/>
          <w:bCs/>
          <w:color w:val="374151"/>
          <w:sz w:val="24"/>
          <w:szCs w:val="24"/>
        </w:rPr>
        <w:t xml:space="preserve">5.2 The Capital Structure</w:t>
      </w:r>
    </w:p>
    <w:p>
      <w:pPr>
        <w:spacing w:after="140" w:line="320"/>
        <w:jc w:val="both"/>
      </w:pPr>
      <w:r>
        <w:rPr>
          <w:color w:val="1F2937"/>
          <w:sz w:val="22"/>
          <w:szCs w:val="22"/>
        </w:rPr>
        <w:t xml:space="preserve">Once enterprise value is established, the question is how the purchase price is funded. The capital structure decision determines how much bond financing Nest provides, what the equity contribution is, and what (if any) junior debt is layered into the structure.</w:t>
      </w:r>
    </w:p>
    <w:p>
      <w:pPr>
        <w:spacing w:after="80" w:before="180"/>
      </w:pPr>
      <w:r>
        <w:rPr>
          <w:b/>
          <w:bCs/>
          <w:i/>
          <w:iCs/>
          <w:color w:val="374151"/>
          <w:sz w:val="22"/>
          <w:szCs w:val="22"/>
        </w:rPr>
        <w:t xml:space="preserve">Maximum Leverage by Sector and Credit Profile</w:t>
      </w:r>
    </w:p>
    <w:p>
      <w:pPr>
        <w:spacing w:after="140" w:line="320"/>
        <w:jc w:val="both"/>
      </w:pPr>
      <w:r>
        <w:rPr>
          <w:color w:val="1F2937"/>
          <w:sz w:val="22"/>
          <w:szCs w:val="22"/>
        </w:rPr>
        <w:t xml:space="preserve">Bond market leverage tolerance varies by sector, by target quality, and by structural protections. Indicative maximum leverage levels (illustrative, calibrated to current market conditions; the platform's structuring engine maintains real-time calibration):</w:t>
      </w:r>
    </w:p>
    <w:p>
      <w:pPr>
        <w:pStyle w:val="ListParagraph"/>
        <w:numPr>
          <w:ilvl w:val="0"/>
          <w:numId w:val="2"/>
        </w:numPr>
        <w:spacing w:after="80" w:line="300"/>
      </w:pPr>
      <w:r>
        <w:rPr>
          <w:color w:val="1F2937"/>
          <w:sz w:val="22"/>
          <w:szCs w:val="22"/>
        </w:rPr>
        <w:t xml:space="preserve">High-quality services businesses with recurring revenue (SaaS, healthcare services, business services): up to 6-7x leverage achievable in bond market with appropriate structure</w:t>
      </w:r>
    </w:p>
    <w:p>
      <w:pPr>
        <w:pStyle w:val="ListParagraph"/>
        <w:numPr>
          <w:ilvl w:val="0"/>
          <w:numId w:val="2"/>
        </w:numPr>
        <w:spacing w:after="80" w:line="300"/>
      </w:pPr>
      <w:r>
        <w:rPr>
          <w:color w:val="1F2937"/>
          <w:sz w:val="22"/>
          <w:szCs w:val="22"/>
        </w:rPr>
        <w:t xml:space="preserve">Mid-quality industrials and distribution: up to 5-6x leverage</w:t>
      </w:r>
    </w:p>
    <w:p>
      <w:pPr>
        <w:pStyle w:val="ListParagraph"/>
        <w:numPr>
          <w:ilvl w:val="0"/>
          <w:numId w:val="2"/>
        </w:numPr>
        <w:spacing w:after="80" w:line="300"/>
      </w:pPr>
      <w:r>
        <w:rPr>
          <w:color w:val="1F2937"/>
          <w:sz w:val="22"/>
          <w:szCs w:val="22"/>
        </w:rPr>
        <w:t xml:space="preserve">Cyclical or lower-quality businesses (specialty contractors, energy services): up to 4-5x leverage</w:t>
      </w:r>
    </w:p>
    <w:p>
      <w:pPr>
        <w:pStyle w:val="ListParagraph"/>
        <w:numPr>
          <w:ilvl w:val="0"/>
          <w:numId w:val="2"/>
        </w:numPr>
        <w:spacing w:after="80" w:line="300"/>
      </w:pPr>
      <w:r>
        <w:rPr>
          <w:color w:val="1F2937"/>
          <w:sz w:val="22"/>
          <w:szCs w:val="22"/>
        </w:rPr>
        <w:t xml:space="preserve">Cash-collateralized LC structures: leverage is effectively irrelevant from a credit perspective because the LC bank backstops the bond; the leverage limit is operational — the platform must service its debt from cash flow, but the bondholders are protected by the LC</w:t>
      </w:r>
    </w:p>
    <w:p>
      <w:pPr>
        <w:spacing w:after="80" w:before="180"/>
      </w:pPr>
      <w:r>
        <w:rPr>
          <w:b/>
          <w:bCs/>
          <w:i/>
          <w:iCs/>
          <w:color w:val="374151"/>
          <w:sz w:val="22"/>
          <w:szCs w:val="22"/>
        </w:rPr>
        <w:t xml:space="preserve">Equity Contribution Requirement</w:t>
      </w:r>
    </w:p>
    <w:p>
      <w:pPr>
        <w:spacing w:after="140" w:line="320"/>
        <w:jc w:val="both"/>
      </w:pPr>
      <w:r>
        <w:rPr>
          <w:color w:val="1F2937"/>
          <w:sz w:val="22"/>
          <w:szCs w:val="22"/>
        </w:rPr>
        <w:t xml:space="preserve">The corollary to leverage capacity is equity contribution. If the platform supports 5x leverage and the acquisition is at 8x EBITDA, then 5/8 = 62.5% of the purchase price is funded by senior debt and the remaining 37.5% requires equity (sponsor check, rollover, co-investment) plus any junior debt the structure permits. The standard expectation is that sponsor equity (cash check plus rollover) constitutes at least 25-30% of total purchase price.</w:t>
      </w:r>
    </w:p>
    <w:p>
      <w:pPr>
        <w:spacing w:after="80" w:before="180"/>
      </w:pPr>
      <w:r>
        <w:rPr>
          <w:b/>
          <w:bCs/>
          <w:i/>
          <w:iCs/>
          <w:color w:val="374151"/>
          <w:sz w:val="22"/>
          <w:szCs w:val="22"/>
        </w:rPr>
        <w:t xml:space="preserve">Junior Debt Sizing</w:t>
      </w:r>
    </w:p>
    <w:p>
      <w:pPr>
        <w:spacing w:after="140" w:line="320"/>
        <w:jc w:val="both"/>
      </w:pPr>
      <w:r>
        <w:rPr>
          <w:color w:val="1F2937"/>
          <w:sz w:val="22"/>
          <w:szCs w:val="22"/>
        </w:rPr>
        <w:t xml:space="preserve">If the gap between senior debt capacity and total purchase price minus sponsor equity is meaningful, junior debt fills the gap. Junior debt sizing is constrained by total leverage tolerance (typically 1-2 turns of EBITDA beyond senior leverage) and by the platform's coverage tests (the platform must support combined senior plus junior debt service).</w:t>
      </w:r>
    </w:p>
    <w:p>
      <w:pPr>
        <w:pStyle w:val="Heading3"/>
        <w:spacing w:after="120" w:before="240"/>
      </w:pPr>
      <w:r>
        <w:rPr>
          <w:b/>
          <w:bCs/>
          <w:color w:val="374151"/>
          <w:sz w:val="24"/>
          <w:szCs w:val="24"/>
        </w:rPr>
        <w:t xml:space="preserve">5.3 The Worked Example</w:t>
      </w:r>
    </w:p>
    <w:p>
      <w:pPr>
        <w:spacing w:after="140" w:line="320"/>
        <w:jc w:val="both"/>
      </w:pPr>
      <w:r>
        <w:rPr>
          <w:color w:val="1F2937"/>
          <w:sz w:val="22"/>
          <w:szCs w:val="22"/>
        </w:rPr>
        <w:t xml:space="preserve">This worked example walks a representative M&amp;A acquisition bond deal end to end, showing the math from valuation through bond sizing through expected return mechanics. The example is hypothetical and is illustrative rather than reflecting any specific transaction.</w:t>
      </w:r>
    </w:p>
    <w:p>
      <w:pPr>
        <w:spacing w:after="80" w:before="180"/>
      </w:pPr>
      <w:r>
        <w:rPr>
          <w:b/>
          <w:bCs/>
          <w:i/>
          <w:iCs/>
          <w:color w:val="374151"/>
          <w:sz w:val="22"/>
          <w:szCs w:val="22"/>
        </w:rPr>
        <w:t xml:space="preserve">Deal Profile</w:t>
      </w:r>
    </w:p>
    <w:p>
      <w:pPr>
        <w:pStyle w:val="ListParagraph"/>
        <w:numPr>
          <w:ilvl w:val="0"/>
          <w:numId w:val="2"/>
        </w:numPr>
        <w:spacing w:after="80" w:line="300"/>
      </w:pPr>
      <w:r>
        <w:rPr>
          <w:color w:val="1F2937"/>
          <w:sz w:val="22"/>
          <w:szCs w:val="22"/>
        </w:rPr>
        <w:t xml:space="preserve">Target: profitable specialty industrial services business, founder-owned, $25M trailing twelve month revenue, $4M trailing twelve month adjusted EBITDA</w:t>
      </w:r>
    </w:p>
    <w:p>
      <w:pPr>
        <w:pStyle w:val="ListParagraph"/>
        <w:numPr>
          <w:ilvl w:val="0"/>
          <w:numId w:val="2"/>
        </w:numPr>
        <w:spacing w:after="80" w:line="300"/>
      </w:pPr>
      <w:r>
        <w:rPr>
          <w:color w:val="1F2937"/>
          <w:sz w:val="22"/>
          <w:szCs w:val="22"/>
        </w:rPr>
        <w:t xml:space="preserve">Sector: industrial services, mid-quality (consistent margins, moderate growth, some customer concentration in top 5)</w:t>
      </w:r>
    </w:p>
    <w:p>
      <w:pPr>
        <w:pStyle w:val="ListParagraph"/>
        <w:numPr>
          <w:ilvl w:val="0"/>
          <w:numId w:val="2"/>
        </w:numPr>
        <w:spacing w:after="80" w:line="300"/>
      </w:pPr>
      <w:r>
        <w:rPr>
          <w:color w:val="1F2937"/>
          <w:sz w:val="22"/>
          <w:szCs w:val="22"/>
        </w:rPr>
        <w:t xml:space="preserve">Acquirer: private equity sponsor with a build-and-buy thesis in industrial services, targeting platform plus 2-3 add-ons over 5-year hold</w:t>
      </w:r>
    </w:p>
    <w:p>
      <w:pPr>
        <w:pStyle w:val="ListParagraph"/>
        <w:numPr>
          <w:ilvl w:val="0"/>
          <w:numId w:val="2"/>
        </w:numPr>
        <w:spacing w:after="80" w:line="300"/>
      </w:pPr>
      <w:r>
        <w:rPr>
          <w:color w:val="1F2937"/>
          <w:sz w:val="22"/>
          <w:szCs w:val="22"/>
        </w:rPr>
        <w:t xml:space="preserve">Sponsor: established middle-market PE firm, $800M fund, prior portfolio companies in adjacent sectors</w:t>
      </w:r>
    </w:p>
    <w:p>
      <w:pPr>
        <w:spacing w:after="80" w:before="180"/>
      </w:pPr>
      <w:r>
        <w:rPr>
          <w:b/>
          <w:bCs/>
          <w:i/>
          <w:iCs/>
          <w:color w:val="374151"/>
          <w:sz w:val="22"/>
          <w:szCs w:val="22"/>
        </w:rPr>
        <w:t xml:space="preserve">Valuation</w:t>
      </w:r>
    </w:p>
    <w:p>
      <w:pPr>
        <w:pStyle w:val="ListParagraph"/>
        <w:numPr>
          <w:ilvl w:val="0"/>
          <w:numId w:val="2"/>
        </w:numPr>
        <w:spacing w:after="80" w:line="300"/>
      </w:pPr>
      <w:r>
        <w:rPr>
          <w:color w:val="1F2937"/>
          <w:sz w:val="22"/>
          <w:szCs w:val="22"/>
        </w:rPr>
        <w:t xml:space="preserve">EBITDA multiple: 7x (mid-range for the sector, accounting for moderate growth and the customer concentration discount)</w:t>
      </w:r>
    </w:p>
    <w:p>
      <w:pPr>
        <w:pStyle w:val="ListParagraph"/>
        <w:numPr>
          <w:ilvl w:val="0"/>
          <w:numId w:val="2"/>
        </w:numPr>
        <w:spacing w:after="80" w:line="300"/>
      </w:pPr>
      <w:r>
        <w:rPr>
          <w:color w:val="1F2937"/>
          <w:sz w:val="22"/>
          <w:szCs w:val="22"/>
        </w:rPr>
        <w:t xml:space="preserve">Enterprise value: $4M × 7 = $28M</w:t>
      </w:r>
    </w:p>
    <w:p>
      <w:pPr>
        <w:pStyle w:val="ListParagraph"/>
        <w:numPr>
          <w:ilvl w:val="0"/>
          <w:numId w:val="2"/>
        </w:numPr>
        <w:spacing w:after="80" w:line="300"/>
      </w:pPr>
      <w:r>
        <w:rPr>
          <w:color w:val="1F2937"/>
          <w:sz w:val="22"/>
          <w:szCs w:val="22"/>
        </w:rPr>
        <w:t xml:space="preserve">Net debt at close: $2M (target's existing equipment financing being refinanced at close)</w:t>
      </w:r>
    </w:p>
    <w:p>
      <w:pPr>
        <w:pStyle w:val="ListParagraph"/>
        <w:numPr>
          <w:ilvl w:val="0"/>
          <w:numId w:val="2"/>
        </w:numPr>
        <w:spacing w:after="80" w:line="300"/>
      </w:pPr>
      <w:r>
        <w:rPr>
          <w:color w:val="1F2937"/>
          <w:sz w:val="22"/>
          <w:szCs w:val="22"/>
        </w:rPr>
        <w:t xml:space="preserve">Equity value to selling shareholders: $28M − $2M = $26M</w:t>
      </w:r>
    </w:p>
    <w:p>
      <w:pPr>
        <w:spacing w:after="80" w:before="180"/>
      </w:pPr>
      <w:r>
        <w:rPr>
          <w:b/>
          <w:bCs/>
          <w:i/>
          <w:iCs/>
          <w:color w:val="374151"/>
          <w:sz w:val="22"/>
          <w:szCs w:val="22"/>
        </w:rPr>
        <w:t xml:space="preserve">Capital Structure</w:t>
      </w:r>
    </w:p>
    <w:p>
      <w:pPr>
        <w:pStyle w:val="ListParagraph"/>
        <w:numPr>
          <w:ilvl w:val="0"/>
          <w:numId w:val="2"/>
        </w:numPr>
        <w:spacing w:after="80" w:line="300"/>
      </w:pPr>
      <w:r>
        <w:rPr>
          <w:color w:val="1F2937"/>
          <w:sz w:val="22"/>
          <w:szCs w:val="22"/>
        </w:rPr>
        <w:t xml:space="preserve">Acquisition Bond (Nest, senior secured): $14M at 5.0x leverage on $4M EBITDA × adjustment for senior leverage capacity of 3.5x trailing EBITDA = $14M</w:t>
      </w:r>
    </w:p>
    <w:p>
      <w:pPr>
        <w:pStyle w:val="ListParagraph"/>
        <w:numPr>
          <w:ilvl w:val="0"/>
          <w:numId w:val="2"/>
        </w:numPr>
        <w:spacing w:after="80" w:line="300"/>
      </w:pPr>
      <w:r>
        <w:rPr>
          <w:color w:val="1F2937"/>
          <w:sz w:val="22"/>
          <w:szCs w:val="22"/>
        </w:rPr>
        <w:t xml:space="preserve">Wait — recalculating. Senior leverage capacity for mid-quality industrial services is approximately 3.5x trailing EBITDA. Senior bond therefore sized at $4M × 3.5 = $14M</w:t>
      </w:r>
    </w:p>
    <w:p>
      <w:pPr>
        <w:pStyle w:val="ListParagraph"/>
        <w:numPr>
          <w:ilvl w:val="0"/>
          <w:numId w:val="2"/>
        </w:numPr>
        <w:spacing w:after="80" w:line="300"/>
      </w:pPr>
      <w:r>
        <w:rPr>
          <w:color w:val="1F2937"/>
          <w:sz w:val="22"/>
          <w:szCs w:val="22"/>
        </w:rPr>
        <w:t xml:space="preserve">Seller note: $4M (5-year subordinated note from buyer to seller at fixed coupon)</w:t>
      </w:r>
    </w:p>
    <w:p>
      <w:pPr>
        <w:pStyle w:val="ListParagraph"/>
        <w:numPr>
          <w:ilvl w:val="0"/>
          <w:numId w:val="2"/>
        </w:numPr>
        <w:spacing w:after="80" w:line="300"/>
      </w:pPr>
      <w:r>
        <w:rPr>
          <w:color w:val="1F2937"/>
          <w:sz w:val="22"/>
          <w:szCs w:val="22"/>
        </w:rPr>
        <w:t xml:space="preserve">Sponsor equity check: $13M cash</w:t>
      </w:r>
    </w:p>
    <w:p>
      <w:pPr>
        <w:pStyle w:val="ListParagraph"/>
        <w:numPr>
          <w:ilvl w:val="0"/>
          <w:numId w:val="2"/>
        </w:numPr>
        <w:spacing w:after="80" w:line="300"/>
      </w:pPr>
      <w:r>
        <w:rPr>
          <w:color w:val="1F2937"/>
          <w:sz w:val="22"/>
          <w:szCs w:val="22"/>
        </w:rPr>
        <w:t xml:space="preserve">Rollover equity: $2M (founder rolls into 10% of post-close equity)</w:t>
      </w:r>
    </w:p>
    <w:p>
      <w:pPr>
        <w:pStyle w:val="ListParagraph"/>
        <w:numPr>
          <w:ilvl w:val="0"/>
          <w:numId w:val="2"/>
        </w:numPr>
        <w:spacing w:after="80" w:line="300"/>
      </w:pPr>
      <w:r>
        <w:rPr>
          <w:color w:val="1F2937"/>
          <w:sz w:val="22"/>
          <w:szCs w:val="22"/>
        </w:rPr>
        <w:t xml:space="preserve">Total sources: $14M + $4M + $13M + $2M = $33M</w:t>
      </w:r>
    </w:p>
    <w:p>
      <w:pPr>
        <w:pStyle w:val="ListParagraph"/>
        <w:numPr>
          <w:ilvl w:val="0"/>
          <w:numId w:val="2"/>
        </w:numPr>
        <w:spacing w:after="80" w:line="300"/>
      </w:pPr>
      <w:r>
        <w:rPr>
          <w:color w:val="1F2937"/>
          <w:sz w:val="22"/>
          <w:szCs w:val="22"/>
        </w:rPr>
        <w:t xml:space="preserve">Total uses: $26M equity purchase price + $2M debt refinancing + $1.5M transaction expenses + $2M closing reserves and Cap-I + $1.5M working capital cushion = $33M</w:t>
      </w:r>
    </w:p>
    <w:p>
      <w:pPr>
        <w:spacing w:after="80" w:before="180"/>
      </w:pPr>
      <w:r>
        <w:rPr>
          <w:b/>
          <w:bCs/>
          <w:i/>
          <w:iCs/>
          <w:color w:val="374151"/>
          <w:sz w:val="22"/>
          <w:szCs w:val="22"/>
        </w:rPr>
        <w:t xml:space="preserve">Bond Structure</w:t>
      </w:r>
    </w:p>
    <w:p>
      <w:pPr>
        <w:pStyle w:val="ListParagraph"/>
        <w:numPr>
          <w:ilvl w:val="0"/>
          <w:numId w:val="2"/>
        </w:numPr>
        <w:spacing w:after="80" w:line="300"/>
      </w:pPr>
      <w:r>
        <w:rPr>
          <w:color w:val="1F2937"/>
          <w:sz w:val="22"/>
          <w:szCs w:val="22"/>
        </w:rPr>
        <w:t xml:space="preserve">Bond type: taxable senior secured term bond, single tranche</w:t>
      </w:r>
    </w:p>
    <w:p>
      <w:pPr>
        <w:pStyle w:val="ListParagraph"/>
        <w:numPr>
          <w:ilvl w:val="0"/>
          <w:numId w:val="2"/>
        </w:numPr>
        <w:spacing w:after="80" w:line="300"/>
      </w:pPr>
      <w:r>
        <w:rPr>
          <w:color w:val="1F2937"/>
          <w:sz w:val="22"/>
          <w:szCs w:val="22"/>
        </w:rPr>
        <w:t xml:space="preserve">Principal: $14M</w:t>
      </w:r>
    </w:p>
    <w:p>
      <w:pPr>
        <w:pStyle w:val="ListParagraph"/>
        <w:numPr>
          <w:ilvl w:val="0"/>
          <w:numId w:val="2"/>
        </w:numPr>
        <w:spacing w:after="80" w:line="300"/>
      </w:pPr>
      <w:r>
        <w:rPr>
          <w:color w:val="1F2937"/>
          <w:sz w:val="22"/>
          <w:szCs w:val="22"/>
        </w:rPr>
        <w:t xml:space="preserve">Tenor: 7 years (matched to expected sponsor hold period plus 2-year cushion)</w:t>
      </w:r>
    </w:p>
    <w:p>
      <w:pPr>
        <w:pStyle w:val="ListParagraph"/>
        <w:numPr>
          <w:ilvl w:val="0"/>
          <w:numId w:val="2"/>
        </w:numPr>
        <w:spacing w:after="80" w:line="300"/>
      </w:pPr>
      <w:r>
        <w:rPr>
          <w:color w:val="1F2937"/>
          <w:sz w:val="22"/>
          <w:szCs w:val="22"/>
        </w:rPr>
        <w:t xml:space="preserve">Coupon: indicative 8.0-9.0% based on B-rated credit profile, sector multiple, and structure</w:t>
      </w:r>
    </w:p>
    <w:p>
      <w:pPr>
        <w:pStyle w:val="ListParagraph"/>
        <w:numPr>
          <w:ilvl w:val="0"/>
          <w:numId w:val="2"/>
        </w:numPr>
        <w:spacing w:after="80" w:line="300"/>
      </w:pPr>
      <w:r>
        <w:rPr>
          <w:color w:val="1F2937"/>
          <w:sz w:val="22"/>
          <w:szCs w:val="22"/>
        </w:rPr>
        <w:t xml:space="preserve">Amortization: 18-month integration period with interest only (capitalized interest reserve funded at close covers approximately half of integration interest, with platform cash flow covering the balance), then 1% annual amortization for years 2-5, 2% annual amortization for years 6-7, balloon at maturity</w:t>
      </w:r>
    </w:p>
    <w:p>
      <w:pPr>
        <w:pStyle w:val="ListParagraph"/>
        <w:numPr>
          <w:ilvl w:val="0"/>
          <w:numId w:val="2"/>
        </w:numPr>
        <w:spacing w:after="80" w:line="300"/>
      </w:pPr>
      <w:r>
        <w:rPr>
          <w:color w:val="1F2937"/>
          <w:sz w:val="22"/>
          <w:szCs w:val="22"/>
        </w:rPr>
        <w:t xml:space="preserve">Reserves: 12 months MADS debt service reserve fund ($1.4M), capitalized interest reserve ($0.8M covering 6 months of integration interest), R&amp;R reserve ($0.3M)</w:t>
      </w:r>
    </w:p>
    <w:p>
      <w:pPr>
        <w:pStyle w:val="ListParagraph"/>
        <w:numPr>
          <w:ilvl w:val="0"/>
          <w:numId w:val="2"/>
        </w:numPr>
        <w:spacing w:after="80" w:line="300"/>
      </w:pPr>
      <w:r>
        <w:rPr>
          <w:color w:val="1F2937"/>
          <w:sz w:val="22"/>
          <w:szCs w:val="22"/>
        </w:rPr>
        <w:t xml:space="preserve">Covenants: 1.20x DSCR (tested quarterly after 18-month covenant holiday), 5.5x maximum total leverage, 1.5x minimum fixed charge coverage, restricted payments tested against build-up, equity contribution required for add-ons</w:t>
      </w:r>
    </w:p>
    <w:p>
      <w:pPr>
        <w:pStyle w:val="ListParagraph"/>
        <w:numPr>
          <w:ilvl w:val="0"/>
          <w:numId w:val="2"/>
        </w:numPr>
        <w:spacing w:after="80" w:line="300"/>
      </w:pPr>
      <w:r>
        <w:rPr>
          <w:color w:val="1F2937"/>
          <w:sz w:val="22"/>
          <w:szCs w:val="22"/>
        </w:rPr>
        <w:t xml:space="preserve">Optionality: non-call 3 years, then callable at 102 declining to par by year 5; equity claw permitted for up to 35% of bonds if exit occurs early</w:t>
      </w:r>
    </w:p>
    <w:p>
      <w:pPr>
        <w:spacing w:after="80" w:before="180"/>
      </w:pPr>
      <w:r>
        <w:rPr>
          <w:b/>
          <w:bCs/>
          <w:i/>
          <w:iCs/>
          <w:color w:val="374151"/>
          <w:sz w:val="22"/>
          <w:szCs w:val="22"/>
        </w:rPr>
        <w:t xml:space="preserve">Expected Returns for the Sponsor</w:t>
      </w:r>
    </w:p>
    <w:p>
      <w:pPr>
        <w:pStyle w:val="ListParagraph"/>
        <w:numPr>
          <w:ilvl w:val="0"/>
          <w:numId w:val="2"/>
        </w:numPr>
        <w:spacing w:after="80" w:line="300"/>
      </w:pPr>
      <w:r>
        <w:rPr>
          <w:color w:val="1F2937"/>
          <w:sz w:val="22"/>
          <w:szCs w:val="22"/>
        </w:rPr>
        <w:t xml:space="preserve">Hold period: 5 years</w:t>
      </w:r>
    </w:p>
    <w:p>
      <w:pPr>
        <w:pStyle w:val="ListParagraph"/>
        <w:numPr>
          <w:ilvl w:val="0"/>
          <w:numId w:val="2"/>
        </w:numPr>
        <w:spacing w:after="80" w:line="300"/>
      </w:pPr>
      <w:r>
        <w:rPr>
          <w:color w:val="1F2937"/>
          <w:sz w:val="22"/>
          <w:szCs w:val="22"/>
        </w:rPr>
        <w:t xml:space="preserve">Expected exit multiple: 8.5x (multiple expansion from scale through 2-3 successful add-ons)</w:t>
      </w:r>
    </w:p>
    <w:p>
      <w:pPr>
        <w:pStyle w:val="ListParagraph"/>
        <w:numPr>
          <w:ilvl w:val="0"/>
          <w:numId w:val="2"/>
        </w:numPr>
        <w:spacing w:after="80" w:line="300"/>
      </w:pPr>
      <w:r>
        <w:rPr>
          <w:color w:val="1F2937"/>
          <w:sz w:val="22"/>
          <w:szCs w:val="22"/>
        </w:rPr>
        <w:t xml:space="preserve">Expected exit EBITDA: $7M (organic growth plus add-on integration)</w:t>
      </w:r>
    </w:p>
    <w:p>
      <w:pPr>
        <w:pStyle w:val="ListParagraph"/>
        <w:numPr>
          <w:ilvl w:val="0"/>
          <w:numId w:val="2"/>
        </w:numPr>
        <w:spacing w:after="80" w:line="300"/>
      </w:pPr>
      <w:r>
        <w:rPr>
          <w:color w:val="1F2937"/>
          <w:sz w:val="22"/>
          <w:szCs w:val="22"/>
        </w:rPr>
        <w:t xml:space="preserve">Expected exit enterprise value: $7M × 8.5 = $59.5M</w:t>
      </w:r>
    </w:p>
    <w:p>
      <w:pPr>
        <w:pStyle w:val="ListParagraph"/>
        <w:numPr>
          <w:ilvl w:val="0"/>
          <w:numId w:val="2"/>
        </w:numPr>
        <w:spacing w:after="80" w:line="300"/>
      </w:pPr>
      <w:r>
        <w:rPr>
          <w:color w:val="1F2937"/>
          <w:sz w:val="22"/>
          <w:szCs w:val="22"/>
        </w:rPr>
        <w:t xml:space="preserve">Less bond outstanding at exit: $13.5M (after modest amortization)</w:t>
      </w:r>
    </w:p>
    <w:p>
      <w:pPr>
        <w:pStyle w:val="ListParagraph"/>
        <w:numPr>
          <w:ilvl w:val="0"/>
          <w:numId w:val="2"/>
        </w:numPr>
        <w:spacing w:after="80" w:line="300"/>
      </w:pPr>
      <w:r>
        <w:rPr>
          <w:color w:val="1F2937"/>
          <w:sz w:val="22"/>
          <w:szCs w:val="22"/>
        </w:rPr>
        <w:t xml:space="preserve">Less seller note outstanding at exit: $2M (after partial paydown)</w:t>
      </w:r>
    </w:p>
    <w:p>
      <w:pPr>
        <w:pStyle w:val="ListParagraph"/>
        <w:numPr>
          <w:ilvl w:val="0"/>
          <w:numId w:val="2"/>
        </w:numPr>
        <w:spacing w:after="80" w:line="300"/>
      </w:pPr>
      <w:r>
        <w:rPr>
          <w:color w:val="1F2937"/>
          <w:sz w:val="22"/>
          <w:szCs w:val="22"/>
        </w:rPr>
        <w:t xml:space="preserve">Equity value at exit: $59.5M − $13.5M − $2M = $44M</w:t>
      </w:r>
    </w:p>
    <w:p>
      <w:pPr>
        <w:pStyle w:val="ListParagraph"/>
        <w:numPr>
          <w:ilvl w:val="0"/>
          <w:numId w:val="2"/>
        </w:numPr>
        <w:spacing w:after="80" w:line="300"/>
      </w:pPr>
      <w:r>
        <w:rPr>
          <w:color w:val="1F2937"/>
          <w:sz w:val="22"/>
          <w:szCs w:val="22"/>
        </w:rPr>
        <w:t xml:space="preserve">Sponsor equity at close: $13M</w:t>
      </w:r>
    </w:p>
    <w:p>
      <w:pPr>
        <w:pStyle w:val="ListParagraph"/>
        <w:numPr>
          <w:ilvl w:val="0"/>
          <w:numId w:val="2"/>
        </w:numPr>
        <w:spacing w:after="80" w:line="300"/>
      </w:pPr>
      <w:r>
        <w:rPr>
          <w:color w:val="1F2937"/>
          <w:sz w:val="22"/>
          <w:szCs w:val="22"/>
        </w:rPr>
        <w:t xml:space="preserve">Sponsor share of exit (90% post-rollover dilution): $44M × 90% = $39.6M</w:t>
      </w:r>
    </w:p>
    <w:p>
      <w:pPr>
        <w:pStyle w:val="ListParagraph"/>
        <w:numPr>
          <w:ilvl w:val="0"/>
          <w:numId w:val="2"/>
        </w:numPr>
        <w:spacing w:after="80" w:line="300"/>
      </w:pPr>
      <w:r>
        <w:rPr>
          <w:color w:val="1F2937"/>
          <w:sz w:val="22"/>
          <w:szCs w:val="22"/>
        </w:rPr>
        <w:t xml:space="preserve">Sponsor MOIC: $39.6M ÷ $13M = 3.05x</w:t>
      </w:r>
    </w:p>
    <w:p>
      <w:pPr>
        <w:pStyle w:val="ListParagraph"/>
        <w:numPr>
          <w:ilvl w:val="0"/>
          <w:numId w:val="2"/>
        </w:numPr>
        <w:spacing w:after="80" w:line="300"/>
      </w:pPr>
      <w:r>
        <w:rPr>
          <w:color w:val="1F2937"/>
          <w:sz w:val="22"/>
          <w:szCs w:val="22"/>
        </w:rPr>
        <w:t xml:space="preserve">Sponsor IRR: approximately 25% (gross deal-level, before fund-level fees)</w:t>
      </w:r>
    </w:p>
    <w:p>
      <w:pPr>
        <w:spacing w:after="140" w:line="320"/>
        <w:jc w:val="both"/>
      </w:pPr>
      <w:r>
        <w:rPr>
          <w:color w:val="1F2937"/>
          <w:sz w:val="22"/>
          <w:szCs w:val="22"/>
        </w:rPr>
        <w:t xml:space="preserve">The example shows that the M&amp;A acquisition bond enables a sub-$5M EBITDA acquisition to occur with strong sponsor returns — exactly the deal that conventional bank syndicated debt would not touch (because it is sub-$20M EBITDA), and exactly the deal that conventional PE would force into a much larger equity check (because no bank would lend at meaningful leverage to a target this size).</w:t>
      </w:r>
    </w:p>
    <w:p>
      <w:pPr>
        <w:pStyle w:val="Heading3"/>
        <w:spacing w:after="120" w:before="240"/>
      </w:pPr>
      <w:r>
        <w:rPr>
          <w:b/>
          <w:bCs/>
          <w:color w:val="374151"/>
          <w:sz w:val="24"/>
          <w:szCs w:val="24"/>
        </w:rPr>
        <w:t xml:space="preserve">5.4 Sizing Sensitivities</w:t>
      </w:r>
    </w:p>
    <w:p>
      <w:pPr>
        <w:spacing w:after="140" w:line="320"/>
        <w:jc w:val="both"/>
      </w:pPr>
      <w:r>
        <w:rPr>
          <w:color w:val="1F2937"/>
          <w:sz w:val="22"/>
          <w:szCs w:val="22"/>
        </w:rPr>
        <w:t xml:space="preserve">The platform's structuring engine runs sensitivity analysis on every M&amp;A acquisition bond. Standard sensitivities:</w:t>
      </w:r>
    </w:p>
    <w:p>
      <w:pPr>
        <w:spacing w:after="80" w:before="180"/>
      </w:pPr>
      <w:r>
        <w:rPr>
          <w:b/>
          <w:bCs/>
          <w:i/>
          <w:iCs/>
          <w:color w:val="374151"/>
          <w:sz w:val="22"/>
          <w:szCs w:val="22"/>
        </w:rPr>
        <w:t xml:space="preserve">EBITDA Sensitivity</w:t>
      </w:r>
    </w:p>
    <w:p>
      <w:pPr>
        <w:spacing w:after="140" w:line="320"/>
        <w:jc w:val="both"/>
      </w:pPr>
      <w:r>
        <w:rPr>
          <w:color w:val="1F2937"/>
          <w:sz w:val="22"/>
          <w:szCs w:val="22"/>
        </w:rPr>
        <w:t xml:space="preserve">What if the buy-side QofE concludes that adjusted EBITDA is lower than initial discussions assumed? The bond sizing recalibrates downward proportionally. A 10% reduction in EBITDA reduces senior bond capacity by 10%. The remaining gap must be filled by additional sponsor equity, additional rollover, or seller financing — or the purchase price must be renegotiated.</w:t>
      </w:r>
    </w:p>
    <w:p>
      <w:pPr>
        <w:spacing w:after="80" w:before="180"/>
      </w:pPr>
      <w:r>
        <w:rPr>
          <w:b/>
          <w:bCs/>
          <w:i/>
          <w:iCs/>
          <w:color w:val="374151"/>
          <w:sz w:val="22"/>
          <w:szCs w:val="22"/>
        </w:rPr>
        <w:t xml:space="preserve">Multiple Sensitivity</w:t>
      </w:r>
    </w:p>
    <w:p>
      <w:pPr>
        <w:spacing w:after="140" w:line="320"/>
        <w:jc w:val="both"/>
      </w:pPr>
      <w:r>
        <w:rPr>
          <w:color w:val="1F2937"/>
          <w:sz w:val="22"/>
          <w:szCs w:val="22"/>
        </w:rPr>
        <w:t xml:space="preserve">What if the valuation is stretched relative to comparable transactions? The bond's pricing reflects the credit risk of paying above-market multiples. A stretched multiple does not block bond issuance but it does affect coupon and may affect the covenant package. The platform calibrates pricing to the multiple's defensibility.</w:t>
      </w:r>
    </w:p>
    <w:p>
      <w:pPr>
        <w:spacing w:after="80" w:before="180"/>
      </w:pPr>
      <w:r>
        <w:rPr>
          <w:b/>
          <w:bCs/>
          <w:i/>
          <w:iCs/>
          <w:color w:val="374151"/>
          <w:sz w:val="22"/>
          <w:szCs w:val="22"/>
        </w:rPr>
        <w:t xml:space="preserve">Leverage Sensitivity</w:t>
      </w:r>
    </w:p>
    <w:p>
      <w:pPr>
        <w:spacing w:after="140" w:line="320"/>
        <w:jc w:val="both"/>
      </w:pPr>
      <w:r>
        <w:rPr>
          <w:color w:val="1F2937"/>
          <w:sz w:val="22"/>
          <w:szCs w:val="22"/>
        </w:rPr>
        <w:t xml:space="preserve">What if the acquirer wants more senior leverage than the sector typically supports? The bond can be sized higher with additional structural protections (larger DSRF, tighter covenants, additional reserves, sponsor support agreement) — but the additional protections may not be cost-effective relative to expanding the equity check or accepting junior debt.</w:t>
      </w:r>
    </w:p>
    <w:p>
      <w:pPr>
        <w:spacing w:after="80" w:before="180"/>
      </w:pPr>
      <w:r>
        <w:rPr>
          <w:b/>
          <w:bCs/>
          <w:i/>
          <w:iCs/>
          <w:color w:val="374151"/>
          <w:sz w:val="22"/>
          <w:szCs w:val="22"/>
        </w:rPr>
        <w:t xml:space="preserve">Integration Sensitivity</w:t>
      </w:r>
    </w:p>
    <w:p>
      <w:pPr>
        <w:spacing w:after="140" w:line="320"/>
        <w:jc w:val="both"/>
      </w:pPr>
      <w:r>
        <w:rPr>
          <w:color w:val="1F2937"/>
          <w:sz w:val="22"/>
          <w:szCs w:val="22"/>
        </w:rPr>
        <w:t xml:space="preserve">What if the integration period extends beyond the initial assumption? The capitalized interest reserve is sized to cover a defined integration window. If integration extends, the platform's cash flow must cover incremental interest. The platform's structuring engine sizes Cap-I conservatively to provide cushion.</w:t>
      </w:r>
    </w:p>
    <w:p>
      <w:pPr>
        <w:spacing w:after="80" w:before="180"/>
      </w:pPr>
      <w:r>
        <w:rPr>
          <w:b/>
          <w:bCs/>
          <w:i/>
          <w:iCs/>
          <w:color w:val="374151"/>
          <w:sz w:val="22"/>
          <w:szCs w:val="22"/>
        </w:rPr>
        <w:t xml:space="preserve">Exit Sensitivity</w:t>
      </w:r>
    </w:p>
    <w:p>
      <w:pPr>
        <w:spacing w:after="140" w:line="320"/>
        <w:jc w:val="both"/>
      </w:pPr>
      <w:r>
        <w:rPr>
          <w:color w:val="1F2937"/>
          <w:sz w:val="22"/>
          <w:szCs w:val="22"/>
        </w:rPr>
        <w:t xml:space="preserve">What if the exit timing or multiple changes? The bond's call structure and amortization are calibrated to the expected hold period. Earlier exit may trigger call premium; later exit may extend bond past natural maturity, requiring refinancing. The platform calibrates these mechanics to the sponsor's typical hold pattern.</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5A. Underwriting Standards for M&amp;A Acquisition Bonds</w:t>
      </w:r>
    </w:p>
    <w:p>
      <w:pPr>
        <w:spacing w:after="140" w:line="320"/>
        <w:jc w:val="both"/>
      </w:pPr>
      <w:r>
        <w:rPr>
          <w:color w:val="1F2937"/>
          <w:sz w:val="22"/>
          <w:szCs w:val="22"/>
        </w:rPr>
        <w:t xml:space="preserve">This section sets the credit underwriting standards specific to M&amp;A acquisition bonds. These standards extend and specialize the Universal Credit Policy Framework (Appendix F of the Operating Framework) for the M&amp;A use case. The Senior Credit Underwriter Agent applies these standards to every M&amp;A acquisition bond intake. Deals that fail to satisfy the standards are either restructured to satisfy them or declined. Exceptions to specific standards require documented justification and escalation per the firm's exception authority framework.</w:t>
      </w:r>
    </w:p>
    <w:p>
      <w:pPr>
        <w:spacing w:after="140" w:line="320"/>
        <w:jc w:val="both"/>
      </w:pPr>
      <w:r>
        <w:rPr>
          <w:color w:val="1F2937"/>
          <w:sz w:val="22"/>
          <w:szCs w:val="22"/>
        </w:rPr>
        <w:t xml:space="preserve">The underwriting standards are organized around the three credit dimensions the firm tests on every M&amp;A acquisition bond: the sponsor's capability and capacity, the target's quality and durability, and the transaction's structure and pricing. Each dimension has hard thresholds (binary pass/fail tests), soft thresholds (sliding-scale tests that affect pricing and structure), and qualitative judgments (factors that require principal review beyond what agents can decide unilaterally).</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M&amp;A UNDERWRITING PRINCIPLE — </w:t>
      </w:r>
      <w:r>
        <w:rPr>
          <w:color w:val="1F2937"/>
          <w:sz w:val="22"/>
          <w:szCs w:val="22"/>
        </w:rPr>
        <w:t xml:space="preserve">Acquisition bonds fail in three ways: the sponsor cannot execute the integration, the target was not what the diligence said it was, or the transaction was structured with insufficient cushion for the operational reality of post-close. The underwriting standards are designed to catch each failure mode before close. A deal that passes the standards is not guaranteed to succeed, but a deal that fails the standards is materially more likely to fail in one of the three ways. The standards are gates, not predictions.</w:t>
      </w:r>
    </w:p>
    <w:p>
      <w:pPr>
        <w:pStyle w:val="Heading3"/>
        <w:spacing w:after="120" w:before="240"/>
      </w:pPr>
      <w:r>
        <w:rPr>
          <w:b/>
          <w:bCs/>
          <w:color w:val="374151"/>
          <w:sz w:val="24"/>
          <w:szCs w:val="24"/>
        </w:rPr>
        <w:t xml:space="preserve">5A.1 — Sponsor Underwriting Standards</w:t>
      </w:r>
    </w:p>
    <w:p>
      <w:pPr>
        <w:spacing w:after="80" w:before="180"/>
      </w:pPr>
      <w:r>
        <w:rPr>
          <w:b/>
          <w:bCs/>
          <w:i/>
          <w:iCs/>
          <w:color w:val="374151"/>
          <w:sz w:val="22"/>
          <w:szCs w:val="22"/>
        </w:rPr>
        <w:t xml:space="preserve">Hard Sponsor Thresholds (Binary Tests)</w:t>
      </w:r>
    </w:p>
    <w:p>
      <w:pPr>
        <w:pStyle w:val="ListParagraph"/>
        <w:numPr>
          <w:ilvl w:val="0"/>
          <w:numId w:val="2"/>
        </w:numPr>
        <w:spacing w:after="80" w:line="300"/>
      </w:pPr>
      <w:r>
        <w:rPr>
          <w:color w:val="1F2937"/>
          <w:sz w:val="22"/>
          <w:szCs w:val="22"/>
        </w:rPr>
        <w:t xml:space="preserve">Sponsor entity must be in good standing in its state of formation</w:t>
      </w:r>
    </w:p>
    <w:p>
      <w:pPr>
        <w:pStyle w:val="ListParagraph"/>
        <w:numPr>
          <w:ilvl w:val="0"/>
          <w:numId w:val="2"/>
        </w:numPr>
        <w:spacing w:after="80" w:line="300"/>
      </w:pPr>
      <w:r>
        <w:rPr>
          <w:color w:val="1F2937"/>
          <w:sz w:val="22"/>
          <w:szCs w:val="22"/>
        </w:rPr>
        <w:t xml:space="preserve">Sponsor must clear KYC/AML screening, OFAC sanctions screening, and PEP screening conducted within 30 days of closing</w:t>
      </w:r>
    </w:p>
    <w:p>
      <w:pPr>
        <w:pStyle w:val="ListParagraph"/>
        <w:numPr>
          <w:ilvl w:val="0"/>
          <w:numId w:val="2"/>
        </w:numPr>
        <w:spacing w:after="80" w:line="300"/>
      </w:pPr>
      <w:r>
        <w:rPr>
          <w:color w:val="1F2937"/>
          <w:sz w:val="22"/>
          <w:szCs w:val="22"/>
        </w:rPr>
        <w:t xml:space="preserve">Sponsor's prior portfolio history must show no payment defaults on bond debt in the past 60 months</w:t>
      </w:r>
    </w:p>
    <w:p>
      <w:pPr>
        <w:pStyle w:val="ListParagraph"/>
        <w:numPr>
          <w:ilvl w:val="0"/>
          <w:numId w:val="2"/>
        </w:numPr>
        <w:spacing w:after="80" w:line="300"/>
      </w:pPr>
      <w:r>
        <w:rPr>
          <w:color w:val="1F2937"/>
          <w:sz w:val="22"/>
          <w:szCs w:val="22"/>
        </w:rPr>
        <w:t xml:space="preserve">Sponsor's prior portfolio history must show no Chapter 11 filing of a portfolio company in the past 36 months, except those structured workout situations that did not result in bondholder losses</w:t>
      </w:r>
    </w:p>
    <w:p>
      <w:pPr>
        <w:pStyle w:val="ListParagraph"/>
        <w:numPr>
          <w:ilvl w:val="0"/>
          <w:numId w:val="2"/>
        </w:numPr>
        <w:spacing w:after="80" w:line="300"/>
      </w:pPr>
      <w:r>
        <w:rPr>
          <w:color w:val="1F2937"/>
          <w:sz w:val="22"/>
          <w:szCs w:val="22"/>
        </w:rPr>
        <w:t xml:space="preserve">Sponsor must have at least one prior closed M&amp;A transaction in the past 60 months (for established sponsors) or a verifiable senior team with M&amp;A track record at predecessor firms (for first-time funds)</w:t>
      </w:r>
    </w:p>
    <w:p>
      <w:pPr>
        <w:pStyle w:val="ListParagraph"/>
        <w:numPr>
          <w:ilvl w:val="0"/>
          <w:numId w:val="2"/>
        </w:numPr>
        <w:spacing w:after="80" w:line="300"/>
      </w:pPr>
      <w:r>
        <w:rPr>
          <w:color w:val="1F2937"/>
          <w:sz w:val="22"/>
          <w:szCs w:val="22"/>
        </w:rPr>
        <w:t xml:space="preserve">Sponsor must demonstrate documented capital commitment sufficient to fund the equity check at close, with capital availability confirmed by fund administrator (PE) or by family office balance sheet (family office)</w:t>
      </w:r>
    </w:p>
    <w:p>
      <w:pPr>
        <w:pStyle w:val="ListParagraph"/>
        <w:numPr>
          <w:ilvl w:val="0"/>
          <w:numId w:val="2"/>
        </w:numPr>
        <w:spacing w:after="80" w:line="300"/>
      </w:pPr>
      <w:r>
        <w:rPr>
          <w:color w:val="1F2937"/>
          <w:sz w:val="22"/>
          <w:szCs w:val="22"/>
        </w:rPr>
        <w:t xml:space="preserve">Sponsor's outside counsel must be a recognized M&amp;A practice with experience in transactions of comparable size</w:t>
      </w:r>
    </w:p>
    <w:p>
      <w:pPr>
        <w:spacing w:after="80" w:before="180"/>
      </w:pPr>
      <w:r>
        <w:rPr>
          <w:b/>
          <w:bCs/>
          <w:i/>
          <w:iCs/>
          <w:color w:val="374151"/>
          <w:sz w:val="22"/>
          <w:szCs w:val="22"/>
        </w:rPr>
        <w:t xml:space="preserve">Soft Sponsor Thresholds (Sliding Scale)</w:t>
      </w:r>
    </w:p>
    <w:p>
      <w:pPr>
        <w:pStyle w:val="ListParagraph"/>
        <w:numPr>
          <w:ilvl w:val="0"/>
          <w:numId w:val="2"/>
        </w:numPr>
        <w:spacing w:after="80" w:line="300"/>
      </w:pPr>
      <w:r>
        <w:rPr>
          <w:color w:val="1F2937"/>
          <w:sz w:val="22"/>
          <w:szCs w:val="22"/>
        </w:rPr>
        <w:t xml:space="preserve">Sponsor's prior portfolio company performance — IRR distribution, MOIC distribution, loss ratio. Sponsors with sustained top-quartile performance get pricing benefit; sponsors with mixed track records get pricing penalty</w:t>
      </w:r>
    </w:p>
    <w:p>
      <w:pPr>
        <w:pStyle w:val="ListParagraph"/>
        <w:numPr>
          <w:ilvl w:val="0"/>
          <w:numId w:val="2"/>
        </w:numPr>
        <w:spacing w:after="80" w:line="300"/>
      </w:pPr>
      <w:r>
        <w:rPr>
          <w:color w:val="1F2937"/>
          <w:sz w:val="22"/>
          <w:szCs w:val="22"/>
        </w:rPr>
        <w:t xml:space="preserve">Sponsor's sector experience — direct prior experience in the target's sector earns favorable underwriting; adjacent sector experience earns moderate underwriting; no sector experience triggers heightened diligence on the integration plan</w:t>
      </w:r>
    </w:p>
    <w:p>
      <w:pPr>
        <w:pStyle w:val="ListParagraph"/>
        <w:numPr>
          <w:ilvl w:val="0"/>
          <w:numId w:val="2"/>
        </w:numPr>
        <w:spacing w:after="80" w:line="300"/>
      </w:pPr>
      <w:r>
        <w:rPr>
          <w:color w:val="1F2937"/>
          <w:sz w:val="22"/>
          <w:szCs w:val="22"/>
        </w:rPr>
        <w:t xml:space="preserve">Sponsor's team continuity — senior team members in place for the bond's expected hold period are favorable; recent senior team turnover triggers questions about institutional knowledge continuity</w:t>
      </w:r>
    </w:p>
    <w:p>
      <w:pPr>
        <w:pStyle w:val="ListParagraph"/>
        <w:numPr>
          <w:ilvl w:val="0"/>
          <w:numId w:val="2"/>
        </w:numPr>
        <w:spacing w:after="80" w:line="300"/>
      </w:pPr>
      <w:r>
        <w:rPr>
          <w:color w:val="1F2937"/>
          <w:sz w:val="22"/>
          <w:szCs w:val="22"/>
        </w:rPr>
        <w:t xml:space="preserve">Sponsor's portfolio operations capability — sponsors with dedicated portfolio operations teams (or strong portfolio operations capability) get favorable underwriting on integration risk; sponsors without portfolio operations capability bear higher integration risk premium</w:t>
      </w:r>
    </w:p>
    <w:p>
      <w:pPr>
        <w:pStyle w:val="ListParagraph"/>
        <w:numPr>
          <w:ilvl w:val="0"/>
          <w:numId w:val="2"/>
        </w:numPr>
        <w:spacing w:after="80" w:line="300"/>
      </w:pPr>
      <w:r>
        <w:rPr>
          <w:color w:val="1F2937"/>
          <w:sz w:val="22"/>
          <w:szCs w:val="22"/>
        </w:rPr>
        <w:t xml:space="preserve">Sponsor's deployment pace — sponsors deploying capital in line with fund pace are normal; sponsors deploying near fund expiration may have time pressure that affects deal selection quality</w:t>
      </w:r>
    </w:p>
    <w:p>
      <w:pPr>
        <w:spacing w:after="80" w:before="180"/>
      </w:pPr>
      <w:r>
        <w:rPr>
          <w:b/>
          <w:bCs/>
          <w:i/>
          <w:iCs/>
          <w:color w:val="374151"/>
          <w:sz w:val="22"/>
          <w:szCs w:val="22"/>
        </w:rPr>
        <w:t xml:space="preserve">Qualitative Sponsor Factors (Principal Review)</w:t>
      </w:r>
    </w:p>
    <w:p>
      <w:pPr>
        <w:pStyle w:val="ListParagraph"/>
        <w:numPr>
          <w:ilvl w:val="0"/>
          <w:numId w:val="2"/>
        </w:numPr>
        <w:spacing w:after="80" w:line="300"/>
      </w:pPr>
      <w:r>
        <w:rPr>
          <w:color w:val="1F2937"/>
          <w:sz w:val="22"/>
          <w:szCs w:val="22"/>
        </w:rPr>
        <w:t xml:space="preserve">Sponsor's reputation in the bond market and with the BD partner network</w:t>
      </w:r>
    </w:p>
    <w:p>
      <w:pPr>
        <w:pStyle w:val="ListParagraph"/>
        <w:numPr>
          <w:ilvl w:val="0"/>
          <w:numId w:val="2"/>
        </w:numPr>
        <w:spacing w:after="80" w:line="300"/>
      </w:pPr>
      <w:r>
        <w:rPr>
          <w:color w:val="1F2937"/>
          <w:sz w:val="22"/>
          <w:szCs w:val="22"/>
        </w:rPr>
        <w:t xml:space="preserve">Sponsor's prior interactions with Nest (if any) and the quality of those interactions</w:t>
      </w:r>
    </w:p>
    <w:p>
      <w:pPr>
        <w:pStyle w:val="ListParagraph"/>
        <w:numPr>
          <w:ilvl w:val="0"/>
          <w:numId w:val="2"/>
        </w:numPr>
        <w:spacing w:after="80" w:line="300"/>
      </w:pPr>
      <w:r>
        <w:rPr>
          <w:color w:val="1F2937"/>
          <w:sz w:val="22"/>
          <w:szCs w:val="22"/>
        </w:rPr>
        <w:t xml:space="preserve">Sponsor's willingness to commit to the bond as primary debt financing rather than shopping multiple debt providers</w:t>
      </w:r>
    </w:p>
    <w:p>
      <w:pPr>
        <w:pStyle w:val="ListParagraph"/>
        <w:numPr>
          <w:ilvl w:val="0"/>
          <w:numId w:val="2"/>
        </w:numPr>
        <w:spacing w:after="80" w:line="300"/>
      </w:pPr>
      <w:r>
        <w:rPr>
          <w:color w:val="1F2937"/>
          <w:sz w:val="22"/>
          <w:szCs w:val="22"/>
        </w:rPr>
        <w:t xml:space="preserve">Sponsor's responsiveness during intake — slow or evasive sponsors during intake typically signal worse counterparties during the bond's life</w:t>
      </w:r>
    </w:p>
    <w:p>
      <w:pPr>
        <w:pStyle w:val="ListParagraph"/>
        <w:numPr>
          <w:ilvl w:val="0"/>
          <w:numId w:val="2"/>
        </w:numPr>
        <w:spacing w:after="80" w:line="300"/>
      </w:pPr>
      <w:r>
        <w:rPr>
          <w:color w:val="1F2937"/>
          <w:sz w:val="22"/>
          <w:szCs w:val="22"/>
        </w:rPr>
        <w:t xml:space="preserve">Sponsor's expectations on covenant flexibility — sponsors who push aggressively on covenants pre-close typically push aggressively post-close</w:t>
      </w:r>
    </w:p>
    <w:p>
      <w:pPr>
        <w:pStyle w:val="Heading3"/>
        <w:spacing w:after="120" w:before="240"/>
      </w:pPr>
      <w:r>
        <w:rPr>
          <w:b/>
          <w:bCs/>
          <w:color w:val="374151"/>
          <w:sz w:val="24"/>
          <w:szCs w:val="24"/>
        </w:rPr>
        <w:t xml:space="preserve">5A.2 — Target Underwriting Standards</w:t>
      </w:r>
    </w:p>
    <w:p>
      <w:pPr>
        <w:spacing w:after="80" w:before="180"/>
      </w:pPr>
      <w:r>
        <w:rPr>
          <w:b/>
          <w:bCs/>
          <w:i/>
          <w:iCs/>
          <w:color w:val="374151"/>
          <w:sz w:val="22"/>
          <w:szCs w:val="22"/>
        </w:rPr>
        <w:t xml:space="preserve">Hard Target Thresholds (Binary Tests)</w:t>
      </w:r>
    </w:p>
    <w:p>
      <w:pPr>
        <w:pStyle w:val="ListParagraph"/>
        <w:numPr>
          <w:ilvl w:val="0"/>
          <w:numId w:val="2"/>
        </w:numPr>
        <w:spacing w:after="80" w:line="300"/>
      </w:pPr>
      <w:r>
        <w:rPr>
          <w:color w:val="1F2937"/>
          <w:sz w:val="22"/>
          <w:szCs w:val="22"/>
        </w:rPr>
        <w:t xml:space="preserve">Target must have positive trailing twelve-month adjusted EBITDA as confirmed by buy-side QofE</w:t>
      </w:r>
    </w:p>
    <w:p>
      <w:pPr>
        <w:pStyle w:val="ListParagraph"/>
        <w:numPr>
          <w:ilvl w:val="0"/>
          <w:numId w:val="2"/>
        </w:numPr>
        <w:spacing w:after="80" w:line="300"/>
      </w:pPr>
      <w:r>
        <w:rPr>
          <w:color w:val="1F2937"/>
          <w:sz w:val="22"/>
          <w:szCs w:val="22"/>
        </w:rPr>
        <w:t xml:space="preserve">Target must have three years of financial statements (audited preferred; reviewed acceptable for sub-$5M EBITDA targets; compilation unacceptable)</w:t>
      </w:r>
    </w:p>
    <w:p>
      <w:pPr>
        <w:pStyle w:val="ListParagraph"/>
        <w:numPr>
          <w:ilvl w:val="0"/>
          <w:numId w:val="2"/>
        </w:numPr>
        <w:spacing w:after="80" w:line="300"/>
      </w:pPr>
      <w:r>
        <w:rPr>
          <w:color w:val="1F2937"/>
          <w:sz w:val="22"/>
          <w:szCs w:val="22"/>
        </w:rPr>
        <w:t xml:space="preserve">Target must have a current-period interim financial statement no more than 60 days old at intake</w:t>
      </w:r>
    </w:p>
    <w:p>
      <w:pPr>
        <w:pStyle w:val="ListParagraph"/>
        <w:numPr>
          <w:ilvl w:val="0"/>
          <w:numId w:val="2"/>
        </w:numPr>
        <w:spacing w:after="80" w:line="300"/>
      </w:pPr>
      <w:r>
        <w:rPr>
          <w:color w:val="1F2937"/>
          <w:sz w:val="22"/>
          <w:szCs w:val="22"/>
        </w:rPr>
        <w:t xml:space="preserve">Top customer concentration must be below 35% of revenue unless the top customer is under contract with at least three years remaining and contractually committed minimums</w:t>
      </w:r>
    </w:p>
    <w:p>
      <w:pPr>
        <w:pStyle w:val="ListParagraph"/>
        <w:numPr>
          <w:ilvl w:val="0"/>
          <w:numId w:val="2"/>
        </w:numPr>
        <w:spacing w:after="80" w:line="300"/>
      </w:pPr>
      <w:r>
        <w:rPr>
          <w:color w:val="1F2937"/>
          <w:sz w:val="22"/>
          <w:szCs w:val="22"/>
        </w:rPr>
        <w:t xml:space="preserve">Top five customer concentration must be below 60% of revenue</w:t>
      </w:r>
    </w:p>
    <w:p>
      <w:pPr>
        <w:pStyle w:val="ListParagraph"/>
        <w:numPr>
          <w:ilvl w:val="0"/>
          <w:numId w:val="2"/>
        </w:numPr>
        <w:spacing w:after="80" w:line="300"/>
      </w:pPr>
      <w:r>
        <w:rPr>
          <w:color w:val="1F2937"/>
          <w:sz w:val="22"/>
          <w:szCs w:val="22"/>
        </w:rPr>
        <w:t xml:space="preserve">Target must have no material pending litigation that would survive close and have potential damages exceeding 25% of enterprise value</w:t>
      </w:r>
    </w:p>
    <w:p>
      <w:pPr>
        <w:pStyle w:val="ListParagraph"/>
        <w:numPr>
          <w:ilvl w:val="0"/>
          <w:numId w:val="2"/>
        </w:numPr>
        <w:spacing w:after="80" w:line="300"/>
      </w:pPr>
      <w:r>
        <w:rPr>
          <w:color w:val="1F2937"/>
          <w:sz w:val="22"/>
          <w:szCs w:val="22"/>
        </w:rPr>
        <w:t xml:space="preserve">Target must have no IRS examination or material state tax dispute pending with potential exposure exceeding 10% of enterprise value</w:t>
      </w:r>
    </w:p>
    <w:p>
      <w:pPr>
        <w:pStyle w:val="ListParagraph"/>
        <w:numPr>
          <w:ilvl w:val="0"/>
          <w:numId w:val="2"/>
        </w:numPr>
        <w:spacing w:after="80" w:line="300"/>
      </w:pPr>
      <w:r>
        <w:rPr>
          <w:color w:val="1F2937"/>
          <w:sz w:val="22"/>
          <w:szCs w:val="22"/>
        </w:rPr>
        <w:t xml:space="preserve">Target's industry must not be subject to imminent regulatory disruption (FDA action, EPA enforcement, OFAC sanctions exposure)</w:t>
      </w:r>
    </w:p>
    <w:p>
      <w:pPr>
        <w:pStyle w:val="ListParagraph"/>
        <w:numPr>
          <w:ilvl w:val="0"/>
          <w:numId w:val="2"/>
        </w:numPr>
        <w:spacing w:after="80" w:line="300"/>
      </w:pPr>
      <w:r>
        <w:rPr>
          <w:color w:val="1F2937"/>
          <w:sz w:val="22"/>
          <w:szCs w:val="22"/>
        </w:rPr>
        <w:t xml:space="preserve">Target must not have material customer contracts requiring change-of-control consent from a party likely to withhold consent</w:t>
      </w:r>
    </w:p>
    <w:p>
      <w:pPr>
        <w:spacing w:after="80" w:before="180"/>
      </w:pPr>
      <w:r>
        <w:rPr>
          <w:b/>
          <w:bCs/>
          <w:i/>
          <w:iCs/>
          <w:color w:val="374151"/>
          <w:sz w:val="22"/>
          <w:szCs w:val="22"/>
        </w:rPr>
        <w:t xml:space="preserve">Soft Target Thresholds (Sliding Scale)</w:t>
      </w:r>
    </w:p>
    <w:p>
      <w:pPr>
        <w:pStyle w:val="ListParagraph"/>
        <w:numPr>
          <w:ilvl w:val="0"/>
          <w:numId w:val="2"/>
        </w:numPr>
        <w:spacing w:after="80" w:line="300"/>
      </w:pPr>
      <w:r>
        <w:rPr>
          <w:color w:val="1F2937"/>
          <w:sz w:val="22"/>
          <w:szCs w:val="22"/>
        </w:rPr>
        <w:t xml:space="preserve">Revenue growth rate — declining revenue triggers heightened diligence; flat revenue is acceptable; growing revenue is favorable; rapidly growing revenue triggers questions about sustainability</w:t>
      </w:r>
    </w:p>
    <w:p>
      <w:pPr>
        <w:pStyle w:val="ListParagraph"/>
        <w:numPr>
          <w:ilvl w:val="0"/>
          <w:numId w:val="2"/>
        </w:numPr>
        <w:spacing w:after="80" w:line="300"/>
      </w:pPr>
      <w:r>
        <w:rPr>
          <w:color w:val="1F2937"/>
          <w:sz w:val="22"/>
          <w:szCs w:val="22"/>
        </w:rPr>
        <w:t xml:space="preserve">Margin trend — declining margins trigger heightened diligence on competitive position; expanding margins are favorable; flat margins are sector-dependent</w:t>
      </w:r>
    </w:p>
    <w:p>
      <w:pPr>
        <w:pStyle w:val="ListParagraph"/>
        <w:numPr>
          <w:ilvl w:val="0"/>
          <w:numId w:val="2"/>
        </w:numPr>
        <w:spacing w:after="80" w:line="300"/>
      </w:pPr>
      <w:r>
        <w:rPr>
          <w:color w:val="1F2937"/>
          <w:sz w:val="22"/>
          <w:szCs w:val="22"/>
        </w:rPr>
        <w:t xml:space="preserve">Recurring revenue percentage — high recurring revenue (subscription, contract-based, repeat customer) is favorable; transactional revenue (project-based, one-time) requires higher coverage cushion</w:t>
      </w:r>
    </w:p>
    <w:p>
      <w:pPr>
        <w:pStyle w:val="ListParagraph"/>
        <w:numPr>
          <w:ilvl w:val="0"/>
          <w:numId w:val="2"/>
        </w:numPr>
        <w:spacing w:after="80" w:line="300"/>
      </w:pPr>
      <w:r>
        <w:rPr>
          <w:color w:val="1F2937"/>
          <w:sz w:val="22"/>
          <w:szCs w:val="22"/>
        </w:rPr>
        <w:t xml:space="preserve">Working capital stability — stable working capital is favorable; volatile working capital requires larger working capital cushion in the financing</w:t>
      </w:r>
    </w:p>
    <w:p>
      <w:pPr>
        <w:pStyle w:val="ListParagraph"/>
        <w:numPr>
          <w:ilvl w:val="0"/>
          <w:numId w:val="2"/>
        </w:numPr>
        <w:spacing w:after="80" w:line="300"/>
      </w:pPr>
      <w:r>
        <w:rPr>
          <w:color w:val="1F2937"/>
          <w:sz w:val="22"/>
          <w:szCs w:val="22"/>
        </w:rPr>
        <w:t xml:space="preserve">Capital expenditure intensity — capital-light businesses are favorable; capital-intensive businesses require either R&amp;R reserve or capex covenant flexibility</w:t>
      </w:r>
    </w:p>
    <w:p>
      <w:pPr>
        <w:pStyle w:val="ListParagraph"/>
        <w:numPr>
          <w:ilvl w:val="0"/>
          <w:numId w:val="2"/>
        </w:numPr>
        <w:spacing w:after="80" w:line="300"/>
      </w:pPr>
      <w:r>
        <w:rPr>
          <w:color w:val="1F2937"/>
          <w:sz w:val="22"/>
          <w:szCs w:val="22"/>
        </w:rPr>
        <w:t xml:space="preserve">Customer churn — low churn is favorable; high churn requires higher coverage cushion and reserve sizing</w:t>
      </w:r>
    </w:p>
    <w:p>
      <w:pPr>
        <w:pStyle w:val="ListParagraph"/>
        <w:numPr>
          <w:ilvl w:val="0"/>
          <w:numId w:val="2"/>
        </w:numPr>
        <w:spacing w:after="80" w:line="300"/>
      </w:pPr>
      <w:r>
        <w:rPr>
          <w:color w:val="1F2937"/>
          <w:sz w:val="22"/>
          <w:szCs w:val="22"/>
        </w:rPr>
        <w:t xml:space="preserve">Industry cyclicality — non-cyclical sectors get favorable underwriting; cyclical sectors require trough-cycle stress testing</w:t>
      </w:r>
    </w:p>
    <w:p>
      <w:pPr>
        <w:spacing w:after="80" w:before="180"/>
      </w:pPr>
      <w:r>
        <w:rPr>
          <w:b/>
          <w:bCs/>
          <w:i/>
          <w:iCs/>
          <w:color w:val="374151"/>
          <w:sz w:val="22"/>
          <w:szCs w:val="22"/>
        </w:rPr>
        <w:t xml:space="preserve">Qualitative Target Factors (Principal Review)</w:t>
      </w:r>
    </w:p>
    <w:p>
      <w:pPr>
        <w:pStyle w:val="ListParagraph"/>
        <w:numPr>
          <w:ilvl w:val="0"/>
          <w:numId w:val="2"/>
        </w:numPr>
        <w:spacing w:after="80" w:line="300"/>
      </w:pPr>
      <w:r>
        <w:rPr>
          <w:color w:val="1F2937"/>
          <w:sz w:val="22"/>
          <w:szCs w:val="22"/>
        </w:rPr>
        <w:t xml:space="preserve">Management team continuity post-close — are the key operators staying, leaving with a transition period, or leaving immediately</w:t>
      </w:r>
    </w:p>
    <w:p>
      <w:pPr>
        <w:pStyle w:val="ListParagraph"/>
        <w:numPr>
          <w:ilvl w:val="0"/>
          <w:numId w:val="2"/>
        </w:numPr>
        <w:spacing w:after="80" w:line="300"/>
      </w:pPr>
      <w:r>
        <w:rPr>
          <w:color w:val="1F2937"/>
          <w:sz w:val="22"/>
          <w:szCs w:val="22"/>
        </w:rPr>
        <w:t xml:space="preserve">Brand and customer relationship transferability — are customer relationships institutional (transfer with the business) or personal (transfer with the founder)</w:t>
      </w:r>
    </w:p>
    <w:p>
      <w:pPr>
        <w:pStyle w:val="ListParagraph"/>
        <w:numPr>
          <w:ilvl w:val="0"/>
          <w:numId w:val="2"/>
        </w:numPr>
        <w:spacing w:after="80" w:line="300"/>
      </w:pPr>
      <w:r>
        <w:rPr>
          <w:color w:val="1F2937"/>
          <w:sz w:val="22"/>
          <w:szCs w:val="22"/>
        </w:rPr>
        <w:t xml:space="preserve">Operational systems — are the systems professional-grade or founder-built</w:t>
      </w:r>
    </w:p>
    <w:p>
      <w:pPr>
        <w:pStyle w:val="ListParagraph"/>
        <w:numPr>
          <w:ilvl w:val="0"/>
          <w:numId w:val="2"/>
        </w:numPr>
        <w:spacing w:after="80" w:line="300"/>
      </w:pPr>
      <w:r>
        <w:rPr>
          <w:color w:val="1F2937"/>
          <w:sz w:val="22"/>
          <w:szCs w:val="22"/>
        </w:rPr>
        <w:t xml:space="preserve">Competitive moat — what protects the business from competitive erosion in the integration period and beyond</w:t>
      </w:r>
    </w:p>
    <w:p>
      <w:pPr>
        <w:pStyle w:val="ListParagraph"/>
        <w:numPr>
          <w:ilvl w:val="0"/>
          <w:numId w:val="2"/>
        </w:numPr>
        <w:spacing w:after="80" w:line="300"/>
      </w:pPr>
      <w:r>
        <w:rPr>
          <w:color w:val="1F2937"/>
          <w:sz w:val="22"/>
          <w:szCs w:val="22"/>
        </w:rPr>
        <w:t xml:space="preserve">Sector outlook — is the sector growing, mature, or declining over the bond's expected life</w:t>
      </w:r>
    </w:p>
    <w:p>
      <w:pPr>
        <w:pStyle w:val="Heading3"/>
        <w:spacing w:after="120" w:before="240"/>
      </w:pPr>
      <w:r>
        <w:rPr>
          <w:b/>
          <w:bCs/>
          <w:color w:val="374151"/>
          <w:sz w:val="24"/>
          <w:szCs w:val="24"/>
        </w:rPr>
        <w:t xml:space="preserve">5A.3 — Transaction Structure Underwriting Standards</w:t>
      </w:r>
    </w:p>
    <w:p>
      <w:pPr>
        <w:spacing w:after="80" w:before="180"/>
      </w:pPr>
      <w:r>
        <w:rPr>
          <w:b/>
          <w:bCs/>
          <w:i/>
          <w:iCs/>
          <w:color w:val="374151"/>
          <w:sz w:val="22"/>
          <w:szCs w:val="22"/>
        </w:rPr>
        <w:t xml:space="preserve">Hard Structure Thresholds (Binary Tests)</w:t>
      </w:r>
    </w:p>
    <w:p>
      <w:pPr>
        <w:pStyle w:val="ListParagraph"/>
        <w:numPr>
          <w:ilvl w:val="0"/>
          <w:numId w:val="2"/>
        </w:numPr>
        <w:spacing w:after="80" w:line="300"/>
      </w:pPr>
      <w:r>
        <w:rPr>
          <w:color w:val="1F2937"/>
          <w:sz w:val="22"/>
          <w:szCs w:val="22"/>
        </w:rPr>
        <w:t xml:space="preserve">Minimum sponsor equity contribution: 25% of total purchase price (combined cash equity + rollover equity; for cash-collateralized LC structures, the cash collateral counts toward the equity threshold)</w:t>
      </w:r>
    </w:p>
    <w:p>
      <w:pPr>
        <w:pStyle w:val="ListParagraph"/>
        <w:numPr>
          <w:ilvl w:val="0"/>
          <w:numId w:val="2"/>
        </w:numPr>
        <w:spacing w:after="80" w:line="300"/>
      </w:pPr>
      <w:r>
        <w:rPr>
          <w:color w:val="1F2937"/>
          <w:sz w:val="22"/>
          <w:szCs w:val="22"/>
        </w:rPr>
        <w:t xml:space="preserve">Minimum sponsor cash equity: 15% of total purchase price (rollover equity above 10% does not substitute for sponsor cash beyond this threshold)</w:t>
      </w:r>
    </w:p>
    <w:p>
      <w:pPr>
        <w:pStyle w:val="ListParagraph"/>
        <w:numPr>
          <w:ilvl w:val="0"/>
          <w:numId w:val="2"/>
        </w:numPr>
        <w:spacing w:after="80" w:line="300"/>
      </w:pPr>
      <w:r>
        <w:rPr>
          <w:color w:val="1F2937"/>
          <w:sz w:val="22"/>
          <w:szCs w:val="22"/>
        </w:rPr>
        <w:t xml:space="preserve">Maximum senior bond leverage (Senior Debt / Trailing Twelve Month EBITDA) at close: 5.0x for sponsor-backed deals in mid-quality sectors; 5.5x for high-quality recurring-revenue businesses; 4.0x for cyclical or lower-quality businesses; cash-collateralized LC structures are not subject to this threshold because the LC backstops the bond</w:t>
      </w:r>
    </w:p>
    <w:p>
      <w:pPr>
        <w:pStyle w:val="ListParagraph"/>
        <w:numPr>
          <w:ilvl w:val="0"/>
          <w:numId w:val="2"/>
        </w:numPr>
        <w:spacing w:after="80" w:line="300"/>
      </w:pPr>
      <w:r>
        <w:rPr>
          <w:color w:val="1F2937"/>
          <w:sz w:val="22"/>
          <w:szCs w:val="22"/>
        </w:rPr>
        <w:t xml:space="preserve">Maximum total leverage (Total Debt / Trailing Twelve Month EBITDA) at close: 6.5x in any structure</w:t>
      </w:r>
    </w:p>
    <w:p>
      <w:pPr>
        <w:pStyle w:val="ListParagraph"/>
        <w:numPr>
          <w:ilvl w:val="0"/>
          <w:numId w:val="2"/>
        </w:numPr>
        <w:spacing w:after="80" w:line="300"/>
      </w:pPr>
      <w:r>
        <w:rPr>
          <w:color w:val="1F2937"/>
          <w:sz w:val="22"/>
          <w:szCs w:val="22"/>
        </w:rPr>
        <w:t xml:space="preserve">Minimum interest coverage (Trailing Twelve Month EBITDA / Pro Forma Interest Expense): 2.0x at close</w:t>
      </w:r>
    </w:p>
    <w:p>
      <w:pPr>
        <w:pStyle w:val="ListParagraph"/>
        <w:numPr>
          <w:ilvl w:val="0"/>
          <w:numId w:val="2"/>
        </w:numPr>
        <w:spacing w:after="80" w:line="300"/>
      </w:pPr>
      <w:r>
        <w:rPr>
          <w:color w:val="1F2937"/>
          <w:sz w:val="22"/>
          <w:szCs w:val="22"/>
        </w:rPr>
        <w:t xml:space="preserve">Minimum cash at close (excluding bond proceeds and DSRF): 60 days of operating expenses</w:t>
      </w:r>
    </w:p>
    <w:p>
      <w:pPr>
        <w:pStyle w:val="ListParagraph"/>
        <w:numPr>
          <w:ilvl w:val="0"/>
          <w:numId w:val="2"/>
        </w:numPr>
        <w:spacing w:after="80" w:line="300"/>
      </w:pPr>
      <w:r>
        <w:rPr>
          <w:color w:val="1F2937"/>
          <w:sz w:val="22"/>
          <w:szCs w:val="22"/>
        </w:rPr>
        <w:t xml:space="preserve">Maximum purchase price multiple as a percentage of three-year average sector comparable transactions: 115% (purchase prices above this threshold require principal approval and additional structural protections)</w:t>
      </w:r>
    </w:p>
    <w:p>
      <w:pPr>
        <w:pStyle w:val="ListParagraph"/>
        <w:numPr>
          <w:ilvl w:val="0"/>
          <w:numId w:val="2"/>
        </w:numPr>
        <w:spacing w:after="80" w:line="300"/>
      </w:pPr>
      <w:r>
        <w:rPr>
          <w:color w:val="1F2937"/>
          <w:sz w:val="22"/>
          <w:szCs w:val="22"/>
        </w:rPr>
        <w:t xml:space="preserve">Buy-side QofE must be completed before bond pricing</w:t>
      </w:r>
    </w:p>
    <w:p>
      <w:pPr>
        <w:pStyle w:val="ListParagraph"/>
        <w:numPr>
          <w:ilvl w:val="0"/>
          <w:numId w:val="2"/>
        </w:numPr>
        <w:spacing w:after="80" w:line="300"/>
      </w:pPr>
      <w:r>
        <w:rPr>
          <w:color w:val="1F2937"/>
          <w:sz w:val="22"/>
          <w:szCs w:val="22"/>
        </w:rPr>
        <w:t xml:space="preserve">R&amp;W insurance must be placed or in process at close; in process is acceptable only if pricing has been quoted and the policy will bind before close</w:t>
      </w:r>
    </w:p>
    <w:p>
      <w:pPr>
        <w:pStyle w:val="ListParagraph"/>
        <w:numPr>
          <w:ilvl w:val="0"/>
          <w:numId w:val="2"/>
        </w:numPr>
        <w:spacing w:after="80" w:line="300"/>
      </w:pPr>
      <w:r>
        <w:rPr>
          <w:color w:val="1F2937"/>
          <w:sz w:val="22"/>
          <w:szCs w:val="22"/>
        </w:rPr>
        <w:t xml:space="preserve">Definitive agreement must contain a financing-out provision consistent with the Nest commitment letter</w:t>
      </w:r>
    </w:p>
    <w:p>
      <w:pPr>
        <w:pStyle w:val="ListParagraph"/>
        <w:numPr>
          <w:ilvl w:val="0"/>
          <w:numId w:val="2"/>
        </w:numPr>
        <w:spacing w:after="80" w:line="300"/>
      </w:pPr>
      <w:r>
        <w:rPr>
          <w:color w:val="1F2937"/>
          <w:sz w:val="22"/>
          <w:szCs w:val="22"/>
        </w:rPr>
        <w:t xml:space="preserve">Working capital target must be set with reference to the trailing twelve-month average; targets set below trailing average require additional working capital reserve</w:t>
      </w:r>
    </w:p>
    <w:p>
      <w:pPr>
        <w:pStyle w:val="ListParagraph"/>
        <w:numPr>
          <w:ilvl w:val="0"/>
          <w:numId w:val="2"/>
        </w:numPr>
        <w:spacing w:after="80" w:line="300"/>
      </w:pPr>
      <w:r>
        <w:rPr>
          <w:color w:val="1F2937"/>
          <w:sz w:val="22"/>
          <w:szCs w:val="22"/>
        </w:rPr>
        <w:t xml:space="preserve">Closing escrow or indemnity escrow must be sized at minimum 5% of equity purchase price (R&amp;W insurance may reduce or eliminate this requirement)</w:t>
      </w:r>
    </w:p>
    <w:p>
      <w:pPr>
        <w:spacing w:after="80" w:before="180"/>
      </w:pPr>
      <w:r>
        <w:rPr>
          <w:b/>
          <w:bCs/>
          <w:i/>
          <w:iCs/>
          <w:color w:val="374151"/>
          <w:sz w:val="22"/>
          <w:szCs w:val="22"/>
        </w:rPr>
        <w:t xml:space="preserve">Soft Structure Thresholds (Sliding Scale)</w:t>
      </w:r>
    </w:p>
    <w:p>
      <w:pPr>
        <w:pStyle w:val="ListParagraph"/>
        <w:numPr>
          <w:ilvl w:val="0"/>
          <w:numId w:val="2"/>
        </w:numPr>
        <w:spacing w:after="80" w:line="300"/>
      </w:pPr>
      <w:r>
        <w:rPr>
          <w:color w:val="1F2937"/>
          <w:sz w:val="22"/>
          <w:szCs w:val="22"/>
        </w:rPr>
        <w:t xml:space="preserve">Synergies included in pro forma calculations — capped at 20% of trailing EBITDA for credit purposes; synergies above this cap may be included in modeling but are not credited toward leverage tests</w:t>
      </w:r>
    </w:p>
    <w:p>
      <w:pPr>
        <w:pStyle w:val="ListParagraph"/>
        <w:numPr>
          <w:ilvl w:val="0"/>
          <w:numId w:val="2"/>
        </w:numPr>
        <w:spacing w:after="80" w:line="300"/>
      </w:pPr>
      <w:r>
        <w:rPr>
          <w:color w:val="1F2937"/>
          <w:sz w:val="22"/>
          <w:szCs w:val="22"/>
        </w:rPr>
        <w:t xml:space="preserve">Integration cost reserve — sized at 1.5-2.5% of enterprise value depending on integration complexity</w:t>
      </w:r>
    </w:p>
    <w:p>
      <w:pPr>
        <w:pStyle w:val="ListParagraph"/>
        <w:numPr>
          <w:ilvl w:val="0"/>
          <w:numId w:val="2"/>
        </w:numPr>
        <w:spacing w:after="80" w:line="300"/>
      </w:pPr>
      <w:r>
        <w:rPr>
          <w:color w:val="1F2937"/>
          <w:sz w:val="22"/>
          <w:szCs w:val="22"/>
        </w:rPr>
        <w:t xml:space="preserve">Capitalized interest reserve — sized to cover 6-18 months of interest depending on integration timeline</w:t>
      </w:r>
    </w:p>
    <w:p>
      <w:pPr>
        <w:pStyle w:val="ListParagraph"/>
        <w:numPr>
          <w:ilvl w:val="0"/>
          <w:numId w:val="2"/>
        </w:numPr>
        <w:spacing w:after="80" w:line="300"/>
      </w:pPr>
      <w:r>
        <w:rPr>
          <w:color w:val="1F2937"/>
          <w:sz w:val="22"/>
          <w:szCs w:val="22"/>
        </w:rPr>
        <w:t xml:space="preserve">Debt service reserve fund — sized at 12 months of debt service minimum; may be sized larger for higher-risk profiles</w:t>
      </w:r>
    </w:p>
    <w:p>
      <w:pPr>
        <w:pStyle w:val="ListParagraph"/>
        <w:numPr>
          <w:ilvl w:val="0"/>
          <w:numId w:val="2"/>
        </w:numPr>
        <w:spacing w:after="80" w:line="300"/>
      </w:pPr>
      <w:r>
        <w:rPr>
          <w:color w:val="1F2937"/>
          <w:sz w:val="22"/>
          <w:szCs w:val="22"/>
        </w:rPr>
        <w:t xml:space="preserve">Equity claw size — limited to 35% of bonds in standard structure; larger equity claw available with corresponding call protection</w:t>
      </w:r>
    </w:p>
    <w:p>
      <w:pPr>
        <w:pStyle w:val="ListParagraph"/>
        <w:numPr>
          <w:ilvl w:val="0"/>
          <w:numId w:val="2"/>
        </w:numPr>
        <w:spacing w:after="80" w:line="300"/>
      </w:pPr>
      <w:r>
        <w:rPr>
          <w:color w:val="1F2937"/>
          <w:sz w:val="22"/>
          <w:szCs w:val="22"/>
        </w:rPr>
        <w:t xml:space="preserve">Non-call period — minimum 2 years; may be extended to 3-4 years for tighter pricing</w:t>
      </w:r>
    </w:p>
    <w:p>
      <w:pPr>
        <w:spacing w:after="80" w:before="180"/>
      </w:pPr>
      <w:r>
        <w:rPr>
          <w:b/>
          <w:bCs/>
          <w:i/>
          <w:iCs/>
          <w:color w:val="374151"/>
          <w:sz w:val="22"/>
          <w:szCs w:val="22"/>
        </w:rPr>
        <w:t xml:space="preserve">Qualitative Structure Factors (Principal Review)</w:t>
      </w:r>
    </w:p>
    <w:p>
      <w:pPr>
        <w:pStyle w:val="ListParagraph"/>
        <w:numPr>
          <w:ilvl w:val="0"/>
          <w:numId w:val="2"/>
        </w:numPr>
        <w:spacing w:after="80" w:line="300"/>
      </w:pPr>
      <w:r>
        <w:rPr>
          <w:color w:val="1F2937"/>
          <w:sz w:val="22"/>
          <w:szCs w:val="22"/>
        </w:rPr>
        <w:t xml:space="preserve">Capital stack appropriateness for the deal type — is the sponsor's chosen structure aligned with their stated strategy</w:t>
      </w:r>
    </w:p>
    <w:p>
      <w:pPr>
        <w:pStyle w:val="ListParagraph"/>
        <w:numPr>
          <w:ilvl w:val="0"/>
          <w:numId w:val="2"/>
        </w:numPr>
        <w:spacing w:after="80" w:line="300"/>
      </w:pPr>
      <w:r>
        <w:rPr>
          <w:color w:val="1F2937"/>
          <w:sz w:val="22"/>
          <w:szCs w:val="22"/>
        </w:rPr>
        <w:t xml:space="preserve">Sources and uses balance — does the closing fund flow leave the platform with adequate working capital cushion</w:t>
      </w:r>
    </w:p>
    <w:p>
      <w:pPr>
        <w:pStyle w:val="ListParagraph"/>
        <w:numPr>
          <w:ilvl w:val="0"/>
          <w:numId w:val="2"/>
        </w:numPr>
        <w:spacing w:after="80" w:line="300"/>
      </w:pPr>
      <w:r>
        <w:rPr>
          <w:color w:val="1F2937"/>
          <w:sz w:val="22"/>
          <w:szCs w:val="22"/>
        </w:rPr>
        <w:t xml:space="preserve">Integration plan quality — does the sponsor have a credible 100-day plan and a 12-month integration plan</w:t>
      </w:r>
    </w:p>
    <w:p>
      <w:pPr>
        <w:pStyle w:val="ListParagraph"/>
        <w:numPr>
          <w:ilvl w:val="0"/>
          <w:numId w:val="2"/>
        </w:numPr>
        <w:spacing w:after="80" w:line="300"/>
      </w:pPr>
      <w:r>
        <w:rPr>
          <w:color w:val="1F2937"/>
          <w:sz w:val="22"/>
          <w:szCs w:val="22"/>
        </w:rPr>
        <w:t xml:space="preserve">Exit assumption realism — is the assumed exit multiple within the range of credible exit multiples for the sector and projected scale</w:t>
      </w:r>
    </w:p>
    <w:p>
      <w:pPr>
        <w:pStyle w:val="ListParagraph"/>
        <w:numPr>
          <w:ilvl w:val="0"/>
          <w:numId w:val="2"/>
        </w:numPr>
        <w:spacing w:after="80" w:line="300"/>
      </w:pPr>
      <w:r>
        <w:rPr>
          <w:color w:val="1F2937"/>
          <w:sz w:val="22"/>
          <w:szCs w:val="22"/>
        </w:rPr>
        <w:t xml:space="preserve">Hold period appropriateness — does the bond's call structure align with the sponsor's expected hold pattern</w:t>
      </w:r>
    </w:p>
    <w:p>
      <w:pPr>
        <w:pStyle w:val="Heading3"/>
        <w:spacing w:after="120" w:before="240"/>
      </w:pPr>
      <w:r>
        <w:rPr>
          <w:b/>
          <w:bCs/>
          <w:color w:val="374151"/>
          <w:sz w:val="24"/>
          <w:szCs w:val="24"/>
        </w:rPr>
        <w:t xml:space="preserve">5A.4 — Pro Forma vs Trailing Tests</w:t>
      </w:r>
    </w:p>
    <w:p>
      <w:pPr>
        <w:spacing w:after="140" w:line="320"/>
        <w:jc w:val="both"/>
      </w:pPr>
      <w:r>
        <w:rPr>
          <w:color w:val="1F2937"/>
          <w:sz w:val="22"/>
          <w:szCs w:val="22"/>
        </w:rPr>
        <w:t xml:space="preserve">M&amp;A acquisition bond underwriting requires careful treatment of pro forma versus trailing financial metrics. Pro forma includes synergies, run-rate adjustments, and assumed operating improvements; trailing reflects historical performance only. The standards:</w:t>
      </w:r>
    </w:p>
    <w:p>
      <w:pPr>
        <w:spacing w:after="80" w:before="180"/>
      </w:pPr>
      <w:r>
        <w:rPr>
          <w:b/>
          <w:bCs/>
          <w:i/>
          <w:iCs/>
          <w:color w:val="374151"/>
          <w:sz w:val="22"/>
          <w:szCs w:val="22"/>
        </w:rPr>
        <w:t xml:space="preserve">Leverage Tests</w:t>
      </w:r>
    </w:p>
    <w:p>
      <w:pPr>
        <w:pStyle w:val="ListParagraph"/>
        <w:numPr>
          <w:ilvl w:val="0"/>
          <w:numId w:val="2"/>
        </w:numPr>
        <w:spacing w:after="80" w:line="300"/>
      </w:pPr>
      <w:r>
        <w:rPr>
          <w:color w:val="1F2937"/>
          <w:sz w:val="22"/>
          <w:szCs w:val="22"/>
        </w:rPr>
        <w:t xml:space="preserve">Trailing leverage (Total Debt / Trailing Twelve Month EBITDA) must satisfy the hard thresholds above without pro forma adjustments</w:t>
      </w:r>
    </w:p>
    <w:p>
      <w:pPr>
        <w:pStyle w:val="ListParagraph"/>
        <w:numPr>
          <w:ilvl w:val="0"/>
          <w:numId w:val="2"/>
        </w:numPr>
        <w:spacing w:after="80" w:line="300"/>
      </w:pPr>
      <w:r>
        <w:rPr>
          <w:color w:val="1F2937"/>
          <w:sz w:val="22"/>
          <w:szCs w:val="22"/>
        </w:rPr>
        <w:t xml:space="preserve">Pro forma leverage may be presented in marketing materials and modeling but cannot be the basis for satisfying covenant tests at issuance</w:t>
      </w:r>
    </w:p>
    <w:p>
      <w:pPr>
        <w:pStyle w:val="ListParagraph"/>
        <w:numPr>
          <w:ilvl w:val="0"/>
          <w:numId w:val="2"/>
        </w:numPr>
        <w:spacing w:after="80" w:line="300"/>
      </w:pPr>
      <w:r>
        <w:rPr>
          <w:color w:val="1F2937"/>
          <w:sz w:val="22"/>
          <w:szCs w:val="22"/>
        </w:rPr>
        <w:t xml:space="preserve">Synergies counted toward pro forma EBITDA must be itemized, supported by buy-side QofE, and capped at 20% of trailing EBITDA</w:t>
      </w:r>
    </w:p>
    <w:p>
      <w:pPr>
        <w:spacing w:after="80" w:before="180"/>
      </w:pPr>
      <w:r>
        <w:rPr>
          <w:b/>
          <w:bCs/>
          <w:i/>
          <w:iCs/>
          <w:color w:val="374151"/>
          <w:sz w:val="22"/>
          <w:szCs w:val="22"/>
        </w:rPr>
        <w:t xml:space="preserve">Coverage Tests</w:t>
      </w:r>
    </w:p>
    <w:p>
      <w:pPr>
        <w:pStyle w:val="ListParagraph"/>
        <w:numPr>
          <w:ilvl w:val="0"/>
          <w:numId w:val="2"/>
        </w:numPr>
        <w:spacing w:after="80" w:line="300"/>
      </w:pPr>
      <w:r>
        <w:rPr>
          <w:color w:val="1F2937"/>
          <w:sz w:val="22"/>
          <w:szCs w:val="22"/>
        </w:rPr>
        <w:t xml:space="preserve">Interest coverage tested against trailing EBITDA and pro forma interest expense (the new bond's interest, not the target's historical interest)</w:t>
      </w:r>
    </w:p>
    <w:p>
      <w:pPr>
        <w:pStyle w:val="ListParagraph"/>
        <w:numPr>
          <w:ilvl w:val="0"/>
          <w:numId w:val="2"/>
        </w:numPr>
        <w:spacing w:after="80" w:line="300"/>
      </w:pPr>
      <w:r>
        <w:rPr>
          <w:color w:val="1F2937"/>
          <w:sz w:val="22"/>
          <w:szCs w:val="22"/>
        </w:rPr>
        <w:t xml:space="preserve">Fixed charge coverage tested against trailing EBITDA</w:t>
      </w:r>
    </w:p>
    <w:p>
      <w:pPr>
        <w:pStyle w:val="ListParagraph"/>
        <w:numPr>
          <w:ilvl w:val="0"/>
          <w:numId w:val="2"/>
        </w:numPr>
        <w:spacing w:after="80" w:line="300"/>
      </w:pPr>
      <w:r>
        <w:rPr>
          <w:color w:val="1F2937"/>
          <w:sz w:val="22"/>
          <w:szCs w:val="22"/>
        </w:rPr>
        <w:t xml:space="preserve">DSCR tested against trailing EBITDA in year one; tests transition to pro forma after the integration period (typically 18-24 months) once synergies are documented as realized</w:t>
      </w:r>
    </w:p>
    <w:p>
      <w:pPr>
        <w:spacing w:after="80" w:before="180"/>
      </w:pPr>
      <w:r>
        <w:rPr>
          <w:b/>
          <w:bCs/>
          <w:i/>
          <w:iCs/>
          <w:color w:val="374151"/>
          <w:sz w:val="22"/>
          <w:szCs w:val="22"/>
        </w:rPr>
        <w:t xml:space="preserve">Working Capital Tests</w:t>
      </w:r>
    </w:p>
    <w:p>
      <w:pPr>
        <w:pStyle w:val="ListParagraph"/>
        <w:numPr>
          <w:ilvl w:val="0"/>
          <w:numId w:val="2"/>
        </w:numPr>
        <w:spacing w:after="80" w:line="300"/>
      </w:pPr>
      <w:r>
        <w:rPr>
          <w:color w:val="1F2937"/>
          <w:sz w:val="22"/>
          <w:szCs w:val="22"/>
        </w:rPr>
        <w:t xml:space="preserve">Working capital target set with reference to trailing twelve-month average, with seasonal normalization where applicable</w:t>
      </w:r>
    </w:p>
    <w:p>
      <w:pPr>
        <w:pStyle w:val="ListParagraph"/>
        <w:numPr>
          <w:ilvl w:val="0"/>
          <w:numId w:val="2"/>
        </w:numPr>
        <w:spacing w:after="80" w:line="300"/>
      </w:pPr>
      <w:r>
        <w:rPr>
          <w:color w:val="1F2937"/>
          <w:sz w:val="22"/>
          <w:szCs w:val="22"/>
        </w:rPr>
        <w:t xml:space="preserve">Targets set below trailing average require explanatory analysis and additional working capital reserve</w:t>
      </w:r>
    </w:p>
    <w:p>
      <w:pPr>
        <w:pStyle w:val="Heading3"/>
        <w:spacing w:after="120" w:before="240"/>
      </w:pPr>
      <w:r>
        <w:rPr>
          <w:b/>
          <w:bCs/>
          <w:color w:val="374151"/>
          <w:sz w:val="24"/>
          <w:szCs w:val="24"/>
        </w:rPr>
        <w:t xml:space="preserve">5A.5 — The Credit Memo Specifically for M&amp;A Acquisition Bonds</w:t>
      </w:r>
    </w:p>
    <w:p>
      <w:pPr>
        <w:spacing w:after="140" w:line="320"/>
        <w:jc w:val="both"/>
      </w:pPr>
      <w:r>
        <w:rPr>
          <w:color w:val="1F2937"/>
          <w:sz w:val="22"/>
          <w:szCs w:val="22"/>
        </w:rPr>
        <w:t xml:space="preserve">The Senior Credit Underwriter Agent produces a credit memo for every M&amp;A acquisition bond deal. The memo follows the universal credit memo template (from the Operating Framework, Credit Underwriting Desk specification) with the following M&amp;A-specific sections added:</w:t>
      </w:r>
    </w:p>
    <w:p>
      <w:pPr>
        <w:spacing w:after="80" w:before="180"/>
      </w:pPr>
      <w:r>
        <w:rPr>
          <w:b/>
          <w:bCs/>
          <w:i/>
          <w:iCs/>
          <w:color w:val="374151"/>
          <w:sz w:val="22"/>
          <w:szCs w:val="22"/>
        </w:rPr>
        <w:t xml:space="preserve">Sponsor Section</w:t>
      </w:r>
    </w:p>
    <w:p>
      <w:pPr>
        <w:pStyle w:val="ListParagraph"/>
        <w:numPr>
          <w:ilvl w:val="0"/>
          <w:numId w:val="2"/>
        </w:numPr>
        <w:spacing w:after="80" w:line="300"/>
      </w:pPr>
      <w:r>
        <w:rPr>
          <w:color w:val="1F2937"/>
          <w:sz w:val="22"/>
          <w:szCs w:val="22"/>
        </w:rPr>
        <w:t xml:space="preserve">Sponsor entity profile and track record</w:t>
      </w:r>
    </w:p>
    <w:p>
      <w:pPr>
        <w:pStyle w:val="ListParagraph"/>
        <w:numPr>
          <w:ilvl w:val="0"/>
          <w:numId w:val="2"/>
        </w:numPr>
        <w:spacing w:after="80" w:line="300"/>
      </w:pPr>
      <w:r>
        <w:rPr>
          <w:color w:val="1F2937"/>
          <w:sz w:val="22"/>
          <w:szCs w:val="22"/>
        </w:rPr>
        <w:t xml:space="preserve">Prior portfolio company performance summary (IRR distribution, MOIC distribution, loss ratio)</w:t>
      </w:r>
    </w:p>
    <w:p>
      <w:pPr>
        <w:pStyle w:val="ListParagraph"/>
        <w:numPr>
          <w:ilvl w:val="0"/>
          <w:numId w:val="2"/>
        </w:numPr>
        <w:spacing w:after="80" w:line="300"/>
      </w:pPr>
      <w:r>
        <w:rPr>
          <w:color w:val="1F2937"/>
          <w:sz w:val="22"/>
          <w:szCs w:val="22"/>
        </w:rPr>
        <w:t xml:space="preserve">Sector experience assessment</w:t>
      </w:r>
    </w:p>
    <w:p>
      <w:pPr>
        <w:pStyle w:val="ListParagraph"/>
        <w:numPr>
          <w:ilvl w:val="0"/>
          <w:numId w:val="2"/>
        </w:numPr>
        <w:spacing w:after="80" w:line="300"/>
      </w:pPr>
      <w:r>
        <w:rPr>
          <w:color w:val="1F2937"/>
          <w:sz w:val="22"/>
          <w:szCs w:val="22"/>
        </w:rPr>
        <w:t xml:space="preserve">Portfolio operations capability assessment</w:t>
      </w:r>
    </w:p>
    <w:p>
      <w:pPr>
        <w:pStyle w:val="ListParagraph"/>
        <w:numPr>
          <w:ilvl w:val="0"/>
          <w:numId w:val="2"/>
        </w:numPr>
        <w:spacing w:after="80" w:line="300"/>
      </w:pPr>
      <w:r>
        <w:rPr>
          <w:color w:val="1F2937"/>
          <w:sz w:val="22"/>
          <w:szCs w:val="22"/>
        </w:rPr>
        <w:t xml:space="preserve">Team continuity and bench depth</w:t>
      </w:r>
    </w:p>
    <w:p>
      <w:pPr>
        <w:pStyle w:val="ListParagraph"/>
        <w:numPr>
          <w:ilvl w:val="0"/>
          <w:numId w:val="2"/>
        </w:numPr>
        <w:spacing w:after="80" w:line="300"/>
      </w:pPr>
      <w:r>
        <w:rPr>
          <w:color w:val="1F2937"/>
          <w:sz w:val="22"/>
          <w:szCs w:val="22"/>
        </w:rPr>
        <w:t xml:space="preserve">Fund-level constraints (deployment pace, fund life, LP composition)</w:t>
      </w:r>
    </w:p>
    <w:p>
      <w:pPr>
        <w:spacing w:after="80" w:before="180"/>
      </w:pPr>
      <w:r>
        <w:rPr>
          <w:b/>
          <w:bCs/>
          <w:i/>
          <w:iCs/>
          <w:color w:val="374151"/>
          <w:sz w:val="22"/>
          <w:szCs w:val="22"/>
        </w:rPr>
        <w:t xml:space="preserve">Target Section</w:t>
      </w:r>
    </w:p>
    <w:p>
      <w:pPr>
        <w:pStyle w:val="ListParagraph"/>
        <w:numPr>
          <w:ilvl w:val="0"/>
          <w:numId w:val="2"/>
        </w:numPr>
        <w:spacing w:after="80" w:line="300"/>
      </w:pPr>
      <w:r>
        <w:rPr>
          <w:color w:val="1F2937"/>
          <w:sz w:val="22"/>
          <w:szCs w:val="22"/>
        </w:rPr>
        <w:t xml:space="preserve">Target business description with historical financial summary</w:t>
      </w:r>
    </w:p>
    <w:p>
      <w:pPr>
        <w:pStyle w:val="ListParagraph"/>
        <w:numPr>
          <w:ilvl w:val="0"/>
          <w:numId w:val="2"/>
        </w:numPr>
        <w:spacing w:after="80" w:line="300"/>
      </w:pPr>
      <w:r>
        <w:rPr>
          <w:color w:val="1F2937"/>
          <w:sz w:val="22"/>
          <w:szCs w:val="22"/>
        </w:rPr>
        <w:t xml:space="preserve">QofE summary with adjustments and run-rate reconciliation</w:t>
      </w:r>
    </w:p>
    <w:p>
      <w:pPr>
        <w:pStyle w:val="ListParagraph"/>
        <w:numPr>
          <w:ilvl w:val="0"/>
          <w:numId w:val="2"/>
        </w:numPr>
        <w:spacing w:after="80" w:line="300"/>
      </w:pPr>
      <w:r>
        <w:rPr>
          <w:color w:val="1F2937"/>
          <w:sz w:val="22"/>
          <w:szCs w:val="22"/>
        </w:rPr>
        <w:t xml:space="preserve">Customer concentration analysis with top 10 detail</w:t>
      </w:r>
    </w:p>
    <w:p>
      <w:pPr>
        <w:pStyle w:val="ListParagraph"/>
        <w:numPr>
          <w:ilvl w:val="0"/>
          <w:numId w:val="2"/>
        </w:numPr>
        <w:spacing w:after="80" w:line="300"/>
      </w:pPr>
      <w:r>
        <w:rPr>
          <w:color w:val="1F2937"/>
          <w:sz w:val="22"/>
          <w:szCs w:val="22"/>
        </w:rPr>
        <w:t xml:space="preserve">Revenue durability analysis (recurring vs transactional)</w:t>
      </w:r>
    </w:p>
    <w:p>
      <w:pPr>
        <w:pStyle w:val="ListParagraph"/>
        <w:numPr>
          <w:ilvl w:val="0"/>
          <w:numId w:val="2"/>
        </w:numPr>
        <w:spacing w:after="80" w:line="300"/>
      </w:pPr>
      <w:r>
        <w:rPr>
          <w:color w:val="1F2937"/>
          <w:sz w:val="22"/>
          <w:szCs w:val="22"/>
        </w:rPr>
        <w:t xml:space="preserve">Margin trend analysis</w:t>
      </w:r>
    </w:p>
    <w:p>
      <w:pPr>
        <w:pStyle w:val="ListParagraph"/>
        <w:numPr>
          <w:ilvl w:val="0"/>
          <w:numId w:val="2"/>
        </w:numPr>
        <w:spacing w:after="80" w:line="300"/>
      </w:pPr>
      <w:r>
        <w:rPr>
          <w:color w:val="1F2937"/>
          <w:sz w:val="22"/>
          <w:szCs w:val="22"/>
        </w:rPr>
        <w:t xml:space="preserve">Working capital and capex profile</w:t>
      </w:r>
    </w:p>
    <w:p>
      <w:pPr>
        <w:pStyle w:val="ListParagraph"/>
        <w:numPr>
          <w:ilvl w:val="0"/>
          <w:numId w:val="2"/>
        </w:numPr>
        <w:spacing w:after="80" w:line="300"/>
      </w:pPr>
      <w:r>
        <w:rPr>
          <w:color w:val="1F2937"/>
          <w:sz w:val="22"/>
          <w:szCs w:val="22"/>
        </w:rPr>
        <w:t xml:space="preserve">Competitive position and moat analysis</w:t>
      </w:r>
    </w:p>
    <w:p>
      <w:pPr>
        <w:pStyle w:val="ListParagraph"/>
        <w:numPr>
          <w:ilvl w:val="0"/>
          <w:numId w:val="2"/>
        </w:numPr>
        <w:spacing w:after="80" w:line="300"/>
      </w:pPr>
      <w:r>
        <w:rPr>
          <w:color w:val="1F2937"/>
          <w:sz w:val="22"/>
          <w:szCs w:val="22"/>
        </w:rPr>
        <w:t xml:space="preserve">Management transition plan</w:t>
      </w:r>
    </w:p>
    <w:p>
      <w:pPr>
        <w:spacing w:after="80" w:before="180"/>
      </w:pPr>
      <w:r>
        <w:rPr>
          <w:b/>
          <w:bCs/>
          <w:i/>
          <w:iCs/>
          <w:color w:val="374151"/>
          <w:sz w:val="22"/>
          <w:szCs w:val="22"/>
        </w:rPr>
        <w:t xml:space="preserve">Transaction Section</w:t>
      </w:r>
    </w:p>
    <w:p>
      <w:pPr>
        <w:pStyle w:val="ListParagraph"/>
        <w:numPr>
          <w:ilvl w:val="0"/>
          <w:numId w:val="2"/>
        </w:numPr>
        <w:spacing w:after="80" w:line="300"/>
      </w:pPr>
      <w:r>
        <w:rPr>
          <w:color w:val="1F2937"/>
          <w:sz w:val="22"/>
          <w:szCs w:val="22"/>
        </w:rPr>
        <w:t xml:space="preserve">Sources and uses at close</w:t>
      </w:r>
    </w:p>
    <w:p>
      <w:pPr>
        <w:pStyle w:val="ListParagraph"/>
        <w:numPr>
          <w:ilvl w:val="0"/>
          <w:numId w:val="2"/>
        </w:numPr>
        <w:spacing w:after="80" w:line="300"/>
      </w:pPr>
      <w:r>
        <w:rPr>
          <w:color w:val="1F2937"/>
          <w:sz w:val="22"/>
          <w:szCs w:val="22"/>
        </w:rPr>
        <w:t xml:space="preserve">Capital structure detail (each tranche, security, pricing, covenants)</w:t>
      </w:r>
    </w:p>
    <w:p>
      <w:pPr>
        <w:pStyle w:val="ListParagraph"/>
        <w:numPr>
          <w:ilvl w:val="0"/>
          <w:numId w:val="2"/>
        </w:numPr>
        <w:spacing w:after="80" w:line="300"/>
      </w:pPr>
      <w:r>
        <w:rPr>
          <w:color w:val="1F2937"/>
          <w:sz w:val="22"/>
          <w:szCs w:val="22"/>
        </w:rPr>
        <w:t xml:space="preserve">Purchase price analysis against sector comparables</w:t>
      </w:r>
    </w:p>
    <w:p>
      <w:pPr>
        <w:pStyle w:val="ListParagraph"/>
        <w:numPr>
          <w:ilvl w:val="0"/>
          <w:numId w:val="2"/>
        </w:numPr>
        <w:spacing w:after="80" w:line="300"/>
      </w:pPr>
      <w:r>
        <w:rPr>
          <w:color w:val="1F2937"/>
          <w:sz w:val="22"/>
          <w:szCs w:val="22"/>
        </w:rPr>
        <w:t xml:space="preserve">Synergy itemization and verification</w:t>
      </w:r>
    </w:p>
    <w:p>
      <w:pPr>
        <w:pStyle w:val="ListParagraph"/>
        <w:numPr>
          <w:ilvl w:val="0"/>
          <w:numId w:val="2"/>
        </w:numPr>
        <w:spacing w:after="80" w:line="300"/>
      </w:pPr>
      <w:r>
        <w:rPr>
          <w:color w:val="1F2937"/>
          <w:sz w:val="22"/>
          <w:szCs w:val="22"/>
        </w:rPr>
        <w:t xml:space="preserve">Integration plan summary</w:t>
      </w:r>
    </w:p>
    <w:p>
      <w:pPr>
        <w:pStyle w:val="ListParagraph"/>
        <w:numPr>
          <w:ilvl w:val="0"/>
          <w:numId w:val="2"/>
        </w:numPr>
        <w:spacing w:after="80" w:line="300"/>
      </w:pPr>
      <w:r>
        <w:rPr>
          <w:color w:val="1F2937"/>
          <w:sz w:val="22"/>
          <w:szCs w:val="22"/>
        </w:rPr>
        <w:t xml:space="preserve">Closing condition status</w:t>
      </w:r>
    </w:p>
    <w:p>
      <w:pPr>
        <w:pStyle w:val="ListParagraph"/>
        <w:numPr>
          <w:ilvl w:val="0"/>
          <w:numId w:val="2"/>
        </w:numPr>
        <w:spacing w:after="80" w:line="300"/>
      </w:pPr>
      <w:r>
        <w:rPr>
          <w:color w:val="1F2937"/>
          <w:sz w:val="22"/>
          <w:szCs w:val="22"/>
        </w:rPr>
        <w:t xml:space="preserve">R&amp;W insurance status</w:t>
      </w:r>
    </w:p>
    <w:p>
      <w:pPr>
        <w:spacing w:after="80" w:before="180"/>
      </w:pPr>
      <w:r>
        <w:rPr>
          <w:b/>
          <w:bCs/>
          <w:i/>
          <w:iCs/>
          <w:color w:val="374151"/>
          <w:sz w:val="22"/>
          <w:szCs w:val="22"/>
        </w:rPr>
        <w:t xml:space="preserve">Bond Structure Section</w:t>
      </w:r>
    </w:p>
    <w:p>
      <w:pPr>
        <w:pStyle w:val="ListParagraph"/>
        <w:numPr>
          <w:ilvl w:val="0"/>
          <w:numId w:val="2"/>
        </w:numPr>
        <w:spacing w:after="80" w:line="300"/>
      </w:pPr>
      <w:r>
        <w:rPr>
          <w:color w:val="1F2937"/>
          <w:sz w:val="22"/>
          <w:szCs w:val="22"/>
        </w:rPr>
        <w:t xml:space="preserve">Recommended bond structure (use case variant, tranching, security, tax status)</w:t>
      </w:r>
    </w:p>
    <w:p>
      <w:pPr>
        <w:pStyle w:val="ListParagraph"/>
        <w:numPr>
          <w:ilvl w:val="0"/>
          <w:numId w:val="2"/>
        </w:numPr>
        <w:spacing w:after="80" w:line="300"/>
      </w:pPr>
      <w:r>
        <w:rPr>
          <w:color w:val="1F2937"/>
          <w:sz w:val="22"/>
          <w:szCs w:val="22"/>
        </w:rPr>
        <w:t xml:space="preserve">Amortization profile with year-by-year principal table</w:t>
      </w:r>
    </w:p>
    <w:p>
      <w:pPr>
        <w:pStyle w:val="ListParagraph"/>
        <w:numPr>
          <w:ilvl w:val="0"/>
          <w:numId w:val="2"/>
        </w:numPr>
        <w:spacing w:after="80" w:line="300"/>
      </w:pPr>
      <w:r>
        <w:rPr>
          <w:color w:val="1F2937"/>
          <w:sz w:val="22"/>
          <w:szCs w:val="22"/>
        </w:rPr>
        <w:t xml:space="preserve">Reserve structure with sizing rationale</w:t>
      </w:r>
    </w:p>
    <w:p>
      <w:pPr>
        <w:pStyle w:val="ListParagraph"/>
        <w:numPr>
          <w:ilvl w:val="0"/>
          <w:numId w:val="2"/>
        </w:numPr>
        <w:spacing w:after="80" w:line="300"/>
      </w:pPr>
      <w:r>
        <w:rPr>
          <w:color w:val="1F2937"/>
          <w:sz w:val="22"/>
          <w:szCs w:val="22"/>
        </w:rPr>
        <w:t xml:space="preserve">Covenant package with key thresholds</w:t>
      </w:r>
    </w:p>
    <w:p>
      <w:pPr>
        <w:pStyle w:val="ListParagraph"/>
        <w:numPr>
          <w:ilvl w:val="0"/>
          <w:numId w:val="2"/>
        </w:numPr>
        <w:spacing w:after="80" w:line="300"/>
      </w:pPr>
      <w:r>
        <w:rPr>
          <w:color w:val="1F2937"/>
          <w:sz w:val="22"/>
          <w:szCs w:val="22"/>
        </w:rPr>
        <w:t xml:space="preserve">Call schedule</w:t>
      </w:r>
    </w:p>
    <w:p>
      <w:pPr>
        <w:pStyle w:val="ListParagraph"/>
        <w:numPr>
          <w:ilvl w:val="0"/>
          <w:numId w:val="2"/>
        </w:numPr>
        <w:spacing w:after="80" w:line="300"/>
      </w:pPr>
      <w:r>
        <w:rPr>
          <w:color w:val="1F2937"/>
          <w:sz w:val="22"/>
          <w:szCs w:val="22"/>
        </w:rPr>
        <w:t xml:space="preserve">Expected rating from Mirror Agents</w:t>
      </w:r>
    </w:p>
    <w:p>
      <w:pPr>
        <w:pStyle w:val="ListParagraph"/>
        <w:numPr>
          <w:ilvl w:val="0"/>
          <w:numId w:val="2"/>
        </w:numPr>
        <w:spacing w:after="80" w:line="300"/>
      </w:pPr>
      <w:r>
        <w:rPr>
          <w:color w:val="1F2937"/>
          <w:sz w:val="22"/>
          <w:szCs w:val="22"/>
        </w:rPr>
        <w:t xml:space="preserve">Indicative pricing with comparable transactions</w:t>
      </w:r>
    </w:p>
    <w:p>
      <w:pPr>
        <w:spacing w:after="80" w:before="180"/>
      </w:pPr>
      <w:r>
        <w:rPr>
          <w:b/>
          <w:bCs/>
          <w:i/>
          <w:iCs/>
          <w:color w:val="374151"/>
          <w:sz w:val="22"/>
          <w:szCs w:val="22"/>
        </w:rPr>
        <w:t xml:space="preserve">Underwriting Standards Compliance</w:t>
      </w:r>
    </w:p>
    <w:p>
      <w:pPr>
        <w:pStyle w:val="ListParagraph"/>
        <w:numPr>
          <w:ilvl w:val="0"/>
          <w:numId w:val="2"/>
        </w:numPr>
        <w:spacing w:after="80" w:line="300"/>
      </w:pPr>
      <w:r>
        <w:rPr>
          <w:color w:val="1F2937"/>
          <w:sz w:val="22"/>
          <w:szCs w:val="22"/>
        </w:rPr>
        <w:t xml:space="preserve">Hard threshold pass/fail summary</w:t>
      </w:r>
    </w:p>
    <w:p>
      <w:pPr>
        <w:pStyle w:val="ListParagraph"/>
        <w:numPr>
          <w:ilvl w:val="0"/>
          <w:numId w:val="2"/>
        </w:numPr>
        <w:spacing w:after="80" w:line="300"/>
      </w:pPr>
      <w:r>
        <w:rPr>
          <w:color w:val="1F2937"/>
          <w:sz w:val="22"/>
          <w:szCs w:val="22"/>
        </w:rPr>
        <w:t xml:space="preserve">Soft threshold sliding-scale assessment</w:t>
      </w:r>
    </w:p>
    <w:p>
      <w:pPr>
        <w:pStyle w:val="ListParagraph"/>
        <w:numPr>
          <w:ilvl w:val="0"/>
          <w:numId w:val="2"/>
        </w:numPr>
        <w:spacing w:after="80" w:line="300"/>
      </w:pPr>
      <w:r>
        <w:rPr>
          <w:color w:val="1F2937"/>
          <w:sz w:val="22"/>
          <w:szCs w:val="22"/>
        </w:rPr>
        <w:t xml:space="preserve">Qualitative factor narrative</w:t>
      </w:r>
    </w:p>
    <w:p>
      <w:pPr>
        <w:pStyle w:val="ListParagraph"/>
        <w:numPr>
          <w:ilvl w:val="0"/>
          <w:numId w:val="2"/>
        </w:numPr>
        <w:spacing w:after="80" w:line="300"/>
      </w:pPr>
      <w:r>
        <w:rPr>
          <w:color w:val="1F2937"/>
          <w:sz w:val="22"/>
          <w:szCs w:val="22"/>
        </w:rPr>
        <w:t xml:space="preserve">Exception identification with justification</w:t>
      </w:r>
    </w:p>
    <w:p>
      <w:pPr>
        <w:spacing w:after="80" w:before="180"/>
      </w:pPr>
      <w:r>
        <w:rPr>
          <w:b/>
          <w:bCs/>
          <w:i/>
          <w:iCs/>
          <w:color w:val="374151"/>
          <w:sz w:val="22"/>
          <w:szCs w:val="22"/>
        </w:rPr>
        <w:t xml:space="preserve">Risk Identification and Mitigants</w:t>
      </w:r>
    </w:p>
    <w:p>
      <w:pPr>
        <w:pStyle w:val="ListParagraph"/>
        <w:numPr>
          <w:ilvl w:val="0"/>
          <w:numId w:val="2"/>
        </w:numPr>
        <w:spacing w:after="80" w:line="300"/>
      </w:pPr>
      <w:r>
        <w:rPr>
          <w:color w:val="1F2937"/>
          <w:sz w:val="22"/>
          <w:szCs w:val="22"/>
        </w:rPr>
        <w:t xml:space="preserve">Top three identified risks</w:t>
      </w:r>
    </w:p>
    <w:p>
      <w:pPr>
        <w:pStyle w:val="ListParagraph"/>
        <w:numPr>
          <w:ilvl w:val="0"/>
          <w:numId w:val="2"/>
        </w:numPr>
        <w:spacing w:after="80" w:line="300"/>
      </w:pPr>
      <w:r>
        <w:rPr>
          <w:color w:val="1F2937"/>
          <w:sz w:val="22"/>
          <w:szCs w:val="22"/>
        </w:rPr>
        <w:t xml:space="preserve">Structural mitigants for each risk</w:t>
      </w:r>
    </w:p>
    <w:p>
      <w:pPr>
        <w:pStyle w:val="ListParagraph"/>
        <w:numPr>
          <w:ilvl w:val="0"/>
          <w:numId w:val="2"/>
        </w:numPr>
        <w:spacing w:after="80" w:line="300"/>
      </w:pPr>
      <w:r>
        <w:rPr>
          <w:color w:val="1F2937"/>
          <w:sz w:val="22"/>
          <w:szCs w:val="22"/>
        </w:rPr>
        <w:t xml:space="preserve">Residual risk assessment</w:t>
      </w:r>
    </w:p>
    <w:p>
      <w:pPr>
        <w:spacing w:after="80" w:before="180"/>
      </w:pPr>
      <w:r>
        <w:rPr>
          <w:b/>
          <w:bCs/>
          <w:i/>
          <w:iCs/>
          <w:color w:val="374151"/>
          <w:sz w:val="22"/>
          <w:szCs w:val="22"/>
        </w:rPr>
        <w:t xml:space="preserve">Recommendation</w:t>
      </w:r>
    </w:p>
    <w:p>
      <w:pPr>
        <w:pStyle w:val="ListParagraph"/>
        <w:numPr>
          <w:ilvl w:val="0"/>
          <w:numId w:val="2"/>
        </w:numPr>
        <w:spacing w:after="80" w:line="300"/>
      </w:pPr>
      <w:r>
        <w:rPr>
          <w:color w:val="1F2937"/>
          <w:sz w:val="22"/>
          <w:szCs w:val="22"/>
        </w:rPr>
        <w:t xml:space="preserve">Credit committee recommendation (approve / approve with conditions / decline)</w:t>
      </w:r>
    </w:p>
    <w:p>
      <w:pPr>
        <w:pStyle w:val="ListParagraph"/>
        <w:numPr>
          <w:ilvl w:val="0"/>
          <w:numId w:val="2"/>
        </w:numPr>
        <w:spacing w:after="80" w:line="300"/>
      </w:pPr>
      <w:r>
        <w:rPr>
          <w:color w:val="1F2937"/>
          <w:sz w:val="22"/>
          <w:szCs w:val="22"/>
        </w:rPr>
        <w:t xml:space="preserve">If approve, recommended bond terms</w:t>
      </w:r>
    </w:p>
    <w:p>
      <w:pPr>
        <w:pStyle w:val="ListParagraph"/>
        <w:numPr>
          <w:ilvl w:val="0"/>
          <w:numId w:val="2"/>
        </w:numPr>
        <w:spacing w:after="80" w:line="300"/>
      </w:pPr>
      <w:r>
        <w:rPr>
          <w:color w:val="1F2937"/>
          <w:sz w:val="22"/>
          <w:szCs w:val="22"/>
        </w:rPr>
        <w:t xml:space="preserve">If approve with conditions, the conditions</w:t>
      </w:r>
    </w:p>
    <w:p>
      <w:pPr>
        <w:pStyle w:val="ListParagraph"/>
        <w:numPr>
          <w:ilvl w:val="0"/>
          <w:numId w:val="2"/>
        </w:numPr>
        <w:spacing w:after="80" w:line="300"/>
      </w:pPr>
      <w:r>
        <w:rPr>
          <w:color w:val="1F2937"/>
          <w:sz w:val="22"/>
          <w:szCs w:val="22"/>
        </w:rPr>
        <w:t xml:space="preserve">If decline, the specific failures of underwriting standards and what would need to change</w:t>
      </w:r>
    </w:p>
    <w:p>
      <w:pPr>
        <w:pStyle w:val="Heading3"/>
        <w:spacing w:after="120" w:before="240"/>
      </w:pPr>
      <w:r>
        <w:rPr>
          <w:b/>
          <w:bCs/>
          <w:color w:val="374151"/>
          <w:sz w:val="24"/>
          <w:szCs w:val="24"/>
        </w:rPr>
        <w:t xml:space="preserve">5A.6 — Credit Committee Process for M&amp;A Acquisition Bonds</w:t>
      </w:r>
    </w:p>
    <w:p>
      <w:pPr>
        <w:spacing w:after="140" w:line="320"/>
        <w:jc w:val="both"/>
      </w:pPr>
      <w:r>
        <w:rPr>
          <w:color w:val="1F2937"/>
          <w:sz w:val="22"/>
          <w:szCs w:val="22"/>
        </w:rPr>
        <w:t xml:space="preserve">Every M&amp;A acquisition bond requires credit committee approval before proceeding to documentation and rating engagement. The credit committee consists of the founders (Sean Gilmore and Josh Edwards) and the In-House Counsel / Chief Compliance Officer Agent at Orca. The Senior Credit Underwriter Agent presents the credit memo to the credit committee.</w:t>
      </w:r>
    </w:p>
    <w:p>
      <w:pPr>
        <w:spacing w:after="140" w:line="320"/>
        <w:jc w:val="both"/>
      </w:pPr>
      <w:r>
        <w:rPr>
          <w:color w:val="1F2937"/>
          <w:sz w:val="22"/>
          <w:szCs w:val="22"/>
        </w:rPr>
        <w:t xml:space="preserve">Standard credit committee outcomes:</w:t>
      </w:r>
    </w:p>
    <w:p>
      <w:pPr>
        <w:pStyle w:val="ListParagraph"/>
        <w:numPr>
          <w:ilvl w:val="0"/>
          <w:numId w:val="2"/>
        </w:numPr>
        <w:spacing w:after="80" w:line="300"/>
      </w:pPr>
      <w:r>
        <w:rPr>
          <w:color w:val="1F2937"/>
          <w:sz w:val="22"/>
          <w:szCs w:val="22"/>
        </w:rPr>
        <w:t xml:space="preserve">Approve — deal proceeds to documentation, rating, and execution on recommended terms</w:t>
      </w:r>
    </w:p>
    <w:p>
      <w:pPr>
        <w:pStyle w:val="ListParagraph"/>
        <w:numPr>
          <w:ilvl w:val="0"/>
          <w:numId w:val="2"/>
        </w:numPr>
        <w:spacing w:after="80" w:line="300"/>
      </w:pPr>
      <w:r>
        <w:rPr>
          <w:color w:val="1F2937"/>
          <w:sz w:val="22"/>
          <w:szCs w:val="22"/>
        </w:rPr>
        <w:t xml:space="preserve">Approve with conditions — deal proceeds subject to satisfaction of specific conditions before closing (e.g., R&amp;W insurance binding, working capital adjustment finalization, additional sponsor support documentation)</w:t>
      </w:r>
    </w:p>
    <w:p>
      <w:pPr>
        <w:pStyle w:val="ListParagraph"/>
        <w:numPr>
          <w:ilvl w:val="0"/>
          <w:numId w:val="2"/>
        </w:numPr>
        <w:spacing w:after="80" w:line="300"/>
      </w:pPr>
      <w:r>
        <w:rPr>
          <w:color w:val="1F2937"/>
          <w:sz w:val="22"/>
          <w:szCs w:val="22"/>
        </w:rPr>
        <w:t xml:space="preserve">Decline — deal does not proceed; specific reasons documented and shared with the acquirer if appropriate</w:t>
      </w:r>
    </w:p>
    <w:p>
      <w:pPr>
        <w:pStyle w:val="ListParagraph"/>
        <w:numPr>
          <w:ilvl w:val="0"/>
          <w:numId w:val="2"/>
        </w:numPr>
        <w:spacing w:after="80" w:line="300"/>
      </w:pPr>
      <w:r>
        <w:rPr>
          <w:color w:val="1F2937"/>
          <w:sz w:val="22"/>
          <w:szCs w:val="22"/>
        </w:rPr>
        <w:t xml:space="preserve">Request resubmission — deal sent back to Bond Desk for restructuring with specific guidance on what needs to change</w:t>
      </w:r>
    </w:p>
    <w:p>
      <w:pPr>
        <w:spacing w:after="140" w:line="320"/>
        <w:jc w:val="both"/>
      </w:pPr>
      <w:r>
        <w:rPr>
          <w:color w:val="1F2937"/>
          <w:sz w:val="22"/>
          <w:szCs w:val="22"/>
        </w:rPr>
        <w:t xml:space="preserve">Credit committee approval is the gate between intake and the firm's commitment of structuring capacity. The principals retain veto authority over any M&amp;A acquisition bond regardless of Senior Credit Underwriter Agent recommendation. The Senior Credit Underwriter Agent has no authority to approve a deal that exceeds defined materiality thresholds without credit committee review.</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6. The Bond Product Layer — Which Bond Types Qualify</w:t>
      </w:r>
    </w:p>
    <w:p>
      <w:pPr>
        <w:spacing w:after="140" w:line="320"/>
        <w:jc w:val="both"/>
      </w:pPr>
      <w:r>
        <w:rPr>
          <w:color w:val="1F2937"/>
          <w:sz w:val="22"/>
          <w:szCs w:val="22"/>
        </w:rPr>
        <w:t xml:space="preserve">M&amp;A acquisition bonds come in several structural variants. The variant chosen depends on the acquirer's profile, the target's profile, the capital structure economics, and the sponsor's cash deployment strategy. The platform's structuring engine evaluates the candidate structures for each deal and recommends the structure that minimizes blended cost of capital while satisfying the acquirer's strategic constraints.</w:t>
      </w:r>
    </w:p>
    <w:p>
      <w:pPr>
        <w:pStyle w:val="Heading3"/>
        <w:spacing w:after="120" w:before="240"/>
      </w:pPr>
      <w:r>
        <w:rPr>
          <w:b/>
          <w:bCs/>
          <w:color w:val="374151"/>
          <w:sz w:val="24"/>
          <w:szCs w:val="24"/>
        </w:rPr>
        <w:t xml:space="preserve">6.1 Taxable Senior Secured Term Bond</w:t>
      </w:r>
    </w:p>
    <w:p>
      <w:pPr>
        <w:spacing w:after="140" w:line="320"/>
        <w:jc w:val="both"/>
      </w:pPr>
      <w:r>
        <w:rPr>
          <w:color w:val="1F2937"/>
          <w:sz w:val="22"/>
          <w:szCs w:val="22"/>
        </w:rPr>
        <w:t xml:space="preserve">The workhorse structure. Single tranche, taxable, senior secured by the target's assets (after refinancing of existing debt) and by the acquirer entity's equity. Typical structure:</w:t>
      </w:r>
    </w:p>
    <w:p>
      <w:pPr>
        <w:pStyle w:val="ListParagraph"/>
        <w:numPr>
          <w:ilvl w:val="0"/>
          <w:numId w:val="2"/>
        </w:numPr>
        <w:spacing w:after="80" w:line="300"/>
      </w:pPr>
      <w:r>
        <w:rPr>
          <w:color w:val="1F2937"/>
          <w:sz w:val="22"/>
          <w:szCs w:val="22"/>
        </w:rPr>
        <w:t xml:space="preserve">Tenor: 5-10 years matched to expected sponsor hold period plus cushion</w:t>
      </w:r>
    </w:p>
    <w:p>
      <w:pPr>
        <w:pStyle w:val="ListParagraph"/>
        <w:numPr>
          <w:ilvl w:val="0"/>
          <w:numId w:val="2"/>
        </w:numPr>
        <w:spacing w:after="80" w:line="300"/>
      </w:pPr>
      <w:r>
        <w:rPr>
          <w:color w:val="1F2937"/>
          <w:sz w:val="22"/>
          <w:szCs w:val="22"/>
        </w:rPr>
        <w:t xml:space="preserve">Coupon: fixed rate, set at issuance, priced to comparable taxable corporate spread for the rating</w:t>
      </w:r>
    </w:p>
    <w:p>
      <w:pPr>
        <w:pStyle w:val="ListParagraph"/>
        <w:numPr>
          <w:ilvl w:val="0"/>
          <w:numId w:val="2"/>
        </w:numPr>
        <w:spacing w:after="80" w:line="300"/>
      </w:pPr>
      <w:r>
        <w:rPr>
          <w:color w:val="1F2937"/>
          <w:sz w:val="22"/>
          <w:szCs w:val="22"/>
        </w:rPr>
        <w:t xml:space="preserve">Amortization: typically interest-only during integration period (12-24 months), then modest principal amortization (1-3% per year), balloon at maturity</w:t>
      </w:r>
    </w:p>
    <w:p>
      <w:pPr>
        <w:pStyle w:val="ListParagraph"/>
        <w:numPr>
          <w:ilvl w:val="0"/>
          <w:numId w:val="2"/>
        </w:numPr>
        <w:spacing w:after="80" w:line="300"/>
      </w:pPr>
      <w:r>
        <w:rPr>
          <w:color w:val="1F2937"/>
          <w:sz w:val="22"/>
          <w:szCs w:val="22"/>
        </w:rPr>
        <w:t xml:space="preserve">Security: first lien on all assets, equity pledge of the acquirer entity</w:t>
      </w:r>
    </w:p>
    <w:p>
      <w:pPr>
        <w:pStyle w:val="ListParagraph"/>
        <w:numPr>
          <w:ilvl w:val="0"/>
          <w:numId w:val="2"/>
        </w:numPr>
        <w:spacing w:after="80" w:line="300"/>
      </w:pPr>
      <w:r>
        <w:rPr>
          <w:color w:val="1F2937"/>
          <w:sz w:val="22"/>
          <w:szCs w:val="22"/>
        </w:rPr>
        <w:t xml:space="preserve">Buyer pool: institutional bond investors with high-yield mandates (bond funds, specialty credit funds, business development companies, certain insurance company portfolios)</w:t>
      </w:r>
    </w:p>
    <w:p>
      <w:pPr>
        <w:pStyle w:val="ListParagraph"/>
        <w:numPr>
          <w:ilvl w:val="0"/>
          <w:numId w:val="2"/>
        </w:numPr>
        <w:spacing w:after="80" w:line="300"/>
      </w:pPr>
      <w:r>
        <w:rPr>
          <w:color w:val="1F2937"/>
          <w:sz w:val="22"/>
          <w:szCs w:val="22"/>
        </w:rPr>
        <w:t xml:space="preserve">Typical rating: B+ to BB- depending on target quality, sector, and structural protections</w:t>
      </w:r>
    </w:p>
    <w:p>
      <w:pPr>
        <w:pStyle w:val="ListParagraph"/>
        <w:numPr>
          <w:ilvl w:val="0"/>
          <w:numId w:val="2"/>
        </w:numPr>
        <w:spacing w:after="80" w:line="300"/>
      </w:pPr>
      <w:r>
        <w:rPr>
          <w:color w:val="1F2937"/>
          <w:sz w:val="22"/>
          <w:szCs w:val="22"/>
        </w:rPr>
        <w:t xml:space="preserve">Typical sizing: 4-6x EBITDA on the senior tranche</w:t>
      </w:r>
    </w:p>
    <w:p>
      <w:pPr>
        <w:spacing w:after="140" w:line="320"/>
        <w:jc w:val="both"/>
      </w:pPr>
      <w:r>
        <w:rPr>
          <w:color w:val="1F2937"/>
          <w:sz w:val="22"/>
          <w:szCs w:val="22"/>
        </w:rPr>
        <w:t xml:space="preserve">This structure fits the majority of sponsor-backed and strategic M&amp;A acquisitions in the middle market. It is the default starting point and gets refined into more complex structures only when the acquirer's specific situation justifies the additional complexity.</w:t>
      </w:r>
    </w:p>
    <w:p>
      <w:pPr>
        <w:pStyle w:val="Heading3"/>
        <w:spacing w:after="120" w:before="240"/>
      </w:pPr>
      <w:r>
        <w:rPr>
          <w:b/>
          <w:bCs/>
          <w:color w:val="374151"/>
          <w:sz w:val="24"/>
          <w:szCs w:val="24"/>
        </w:rPr>
        <w:t xml:space="preserve">6.2 Senior Secured Bond Plus Subordinate Tranche</w:t>
      </w:r>
    </w:p>
    <w:p>
      <w:pPr>
        <w:spacing w:after="140" w:line="320"/>
        <w:jc w:val="both"/>
      </w:pPr>
      <w:r>
        <w:rPr>
          <w:color w:val="1F2937"/>
          <w:sz w:val="22"/>
          <w:szCs w:val="22"/>
        </w:rPr>
        <w:t xml:space="preserve">When the gap between senior leverage capacity and total deal need is meaningful, a subordinate tranche fills the gap. Structure:</w:t>
      </w:r>
    </w:p>
    <w:p>
      <w:pPr>
        <w:pStyle w:val="ListParagraph"/>
        <w:numPr>
          <w:ilvl w:val="0"/>
          <w:numId w:val="2"/>
        </w:numPr>
        <w:spacing w:after="80" w:line="300"/>
      </w:pPr>
      <w:r>
        <w:rPr>
          <w:color w:val="1F2937"/>
          <w:sz w:val="22"/>
          <w:szCs w:val="22"/>
        </w:rPr>
        <w:t xml:space="preserve">Senior tranche: as described in 6.1, sized to senior leverage capacity</w:t>
      </w:r>
    </w:p>
    <w:p>
      <w:pPr>
        <w:pStyle w:val="ListParagraph"/>
        <w:numPr>
          <w:ilvl w:val="0"/>
          <w:numId w:val="2"/>
        </w:numPr>
        <w:spacing w:after="80" w:line="300"/>
      </w:pPr>
      <w:r>
        <w:rPr>
          <w:color w:val="1F2937"/>
          <w:sz w:val="22"/>
          <w:szCs w:val="22"/>
        </w:rPr>
        <w:t xml:space="preserve">Subordinate tranche: second-lien or unsecured, sized to fill the gap (typically 0.5-2 turns of additional EBITDA leverage)</w:t>
      </w:r>
    </w:p>
    <w:p>
      <w:pPr>
        <w:pStyle w:val="ListParagraph"/>
        <w:numPr>
          <w:ilvl w:val="0"/>
          <w:numId w:val="2"/>
        </w:numPr>
        <w:spacing w:after="80" w:line="300"/>
      </w:pPr>
      <w:r>
        <w:rPr>
          <w:color w:val="1F2937"/>
          <w:sz w:val="22"/>
          <w:szCs w:val="22"/>
        </w:rPr>
        <w:t xml:space="preserve">Subordinate tenor: typically equal to or slightly longer than senior tenor</w:t>
      </w:r>
    </w:p>
    <w:p>
      <w:pPr>
        <w:pStyle w:val="ListParagraph"/>
        <w:numPr>
          <w:ilvl w:val="0"/>
          <w:numId w:val="2"/>
        </w:numPr>
        <w:spacing w:after="80" w:line="300"/>
      </w:pPr>
      <w:r>
        <w:rPr>
          <w:color w:val="1F2937"/>
          <w:sz w:val="22"/>
          <w:szCs w:val="22"/>
        </w:rPr>
        <w:t xml:space="preserve">Subordinate coupon: 200-400 basis points above senior coupon depending on subordination depth</w:t>
      </w:r>
    </w:p>
    <w:p>
      <w:pPr>
        <w:pStyle w:val="ListParagraph"/>
        <w:numPr>
          <w:ilvl w:val="0"/>
          <w:numId w:val="2"/>
        </w:numPr>
        <w:spacing w:after="80" w:line="300"/>
      </w:pPr>
      <w:r>
        <w:rPr>
          <w:color w:val="1F2937"/>
          <w:sz w:val="22"/>
          <w:szCs w:val="22"/>
        </w:rPr>
        <w:t xml:space="preserve">Subordinate amortization: typically bullet at maturity or back-loaded amortization</w:t>
      </w:r>
    </w:p>
    <w:p>
      <w:pPr>
        <w:pStyle w:val="ListParagraph"/>
        <w:numPr>
          <w:ilvl w:val="0"/>
          <w:numId w:val="2"/>
        </w:numPr>
        <w:spacing w:after="80" w:line="300"/>
      </w:pPr>
      <w:r>
        <w:rPr>
          <w:color w:val="1F2937"/>
          <w:sz w:val="22"/>
          <w:szCs w:val="22"/>
        </w:rPr>
        <w:t xml:space="preserve">Subordinate buyer pool: specialty credit funds, mezzanine funds, certain hedge funds</w:t>
      </w:r>
    </w:p>
    <w:p>
      <w:pPr>
        <w:pStyle w:val="ListParagraph"/>
        <w:numPr>
          <w:ilvl w:val="0"/>
          <w:numId w:val="2"/>
        </w:numPr>
        <w:spacing w:after="80" w:line="300"/>
      </w:pPr>
      <w:r>
        <w:rPr>
          <w:color w:val="1F2937"/>
          <w:sz w:val="22"/>
          <w:szCs w:val="22"/>
        </w:rPr>
        <w:t xml:space="preserve">Inter-creditor agreement governs the relative priority</w:t>
      </w:r>
    </w:p>
    <w:p>
      <w:pPr>
        <w:spacing w:after="140" w:line="320"/>
        <w:jc w:val="both"/>
      </w:pPr>
      <w:r>
        <w:rPr>
          <w:color w:val="1F2937"/>
          <w:sz w:val="22"/>
          <w:szCs w:val="22"/>
        </w:rPr>
        <w:t xml:space="preserve">The two-tranche structure expands total leverage capacity by 1-2 turns, enabling deals where senior alone cannot cover the financing need. The trade-off is higher blended cost of capital and increased structural complexity.</w:t>
      </w:r>
    </w:p>
    <w:p>
      <w:pPr>
        <w:pStyle w:val="Heading3"/>
        <w:spacing w:after="120" w:before="240"/>
      </w:pPr>
      <w:r>
        <w:rPr>
          <w:b/>
          <w:bCs/>
          <w:color w:val="374151"/>
          <w:sz w:val="24"/>
          <w:szCs w:val="24"/>
        </w:rPr>
        <w:t xml:space="preserve">6.3 Cash-Collateralized LC Structure</w:t>
      </w:r>
    </w:p>
    <w:p>
      <w:pPr>
        <w:spacing w:after="140" w:line="320"/>
        <w:jc w:val="both"/>
      </w:pPr>
      <w:r>
        <w:rPr>
          <w:color w:val="1F2937"/>
          <w:sz w:val="22"/>
          <w:szCs w:val="22"/>
        </w:rPr>
        <w:t xml:space="preserve">The signature structure for sponsors and family offices with deployable cash. The mechanics:</w:t>
      </w:r>
    </w:p>
    <w:p>
      <w:pPr>
        <w:pStyle w:val="ListParagraph"/>
        <w:numPr>
          <w:ilvl w:val="0"/>
          <w:numId w:val="2"/>
        </w:numPr>
        <w:spacing w:after="80" w:line="300"/>
      </w:pPr>
      <w:r>
        <w:rPr>
          <w:color w:val="1F2937"/>
          <w:sz w:val="22"/>
          <w:szCs w:val="22"/>
        </w:rPr>
        <w:t xml:space="preserve">The sponsor places cash equal to the bond principal (or a defined percentage thereof) in a controlled cash collateral account at an investment-grade bank</w:t>
      </w:r>
    </w:p>
    <w:p>
      <w:pPr>
        <w:pStyle w:val="ListParagraph"/>
        <w:numPr>
          <w:ilvl w:val="0"/>
          <w:numId w:val="2"/>
        </w:numPr>
        <w:spacing w:after="80" w:line="300"/>
      </w:pPr>
      <w:r>
        <w:rPr>
          <w:color w:val="1F2937"/>
          <w:sz w:val="22"/>
          <w:szCs w:val="22"/>
        </w:rPr>
        <w:t xml:space="preserve">The bank issues a Letter of Credit equal to the bond principal, drawable by the trustee on demand</w:t>
      </w:r>
    </w:p>
    <w:p>
      <w:pPr>
        <w:pStyle w:val="ListParagraph"/>
        <w:numPr>
          <w:ilvl w:val="0"/>
          <w:numId w:val="2"/>
        </w:numPr>
        <w:spacing w:after="80" w:line="300"/>
      </w:pPr>
      <w:r>
        <w:rPr>
          <w:color w:val="1F2937"/>
          <w:sz w:val="22"/>
          <w:szCs w:val="22"/>
        </w:rPr>
        <w:t xml:space="preserve">The bond is issued with the LC as the credit support — bondholders look first to the LC bank (and behind that, to the cash collateral) for repayment</w:t>
      </w:r>
    </w:p>
    <w:p>
      <w:pPr>
        <w:pStyle w:val="ListParagraph"/>
        <w:numPr>
          <w:ilvl w:val="0"/>
          <w:numId w:val="2"/>
        </w:numPr>
        <w:spacing w:after="80" w:line="300"/>
      </w:pPr>
      <w:r>
        <w:rPr>
          <w:color w:val="1F2937"/>
          <w:sz w:val="22"/>
          <w:szCs w:val="22"/>
        </w:rPr>
        <w:t xml:space="preserve">The bond receives the rating of the LC bank's short-term rating (typically A-1+ or P-1, equivalent to AA+ or AAA long-term)</w:t>
      </w:r>
    </w:p>
    <w:p>
      <w:pPr>
        <w:pStyle w:val="ListParagraph"/>
        <w:numPr>
          <w:ilvl w:val="0"/>
          <w:numId w:val="2"/>
        </w:numPr>
        <w:spacing w:after="80" w:line="300"/>
      </w:pPr>
      <w:r>
        <w:rPr>
          <w:color w:val="1F2937"/>
          <w:sz w:val="22"/>
          <w:szCs w:val="22"/>
        </w:rPr>
        <w:t xml:space="preserve">Pricing tightens dramatically — investment-grade pricing rather than high-yield pricing</w:t>
      </w:r>
    </w:p>
    <w:p>
      <w:pPr>
        <w:spacing w:after="140" w:line="320"/>
        <w:jc w:val="both"/>
      </w:pPr>
      <w:r>
        <w:rPr>
          <w:color w:val="1F2937"/>
          <w:sz w:val="22"/>
          <w:szCs w:val="22"/>
        </w:rPr>
        <w:t xml:space="preserve">The economics: the sponsor's cash earns treasury-rate money market returns in the collateral account; the platform pays bond debt service at investment-grade rates; the spread between investment-grade bond pricing and high-yield bond pricing represents value creation. On a $50M acquisition bond, the difference between BB- pricing (perhaps 8.5%) and AA+ pricing (perhaps 5.5%) is 3% per year, or $1.5M annually. Over a 5-year hold, that is $7.5M in interest savings — enough to materially affect deal returns.</w:t>
      </w:r>
    </w:p>
    <w:p>
      <w:pPr>
        <w:spacing w:after="140" w:line="320"/>
        <w:jc w:val="both"/>
      </w:pPr>
      <w:r>
        <w:rPr>
          <w:color w:val="1F2937"/>
          <w:sz w:val="22"/>
          <w:szCs w:val="22"/>
        </w:rPr>
        <w:t xml:space="preserve">The structure works because the sponsor's cash is not actually deployed during the bond's life — it sits in the collateral account earning market rates. At platform exit, the LC is released and the cash returns to the sponsor along with all equity appreciation. The sponsor has effectively rented the LC bank's credit profile for the bond's life, using the sponsor's own cash as the collateral that makes the rental work.</w:t>
      </w:r>
    </w:p>
    <w:p>
      <w:pPr>
        <w:spacing w:after="140" w:line="320"/>
        <w:jc w:val="both"/>
      </w:pPr>
      <w:r>
        <w:rPr>
          <w:color w:val="1F2937"/>
          <w:sz w:val="22"/>
          <w:szCs w:val="22"/>
        </w:rPr>
        <w:t xml:space="preserve">Eligibility: requires the sponsor or family office to have deployable cash equal to the bond principal. PE funds in active deployment phase typically have access to LP capital calls that can fund collateral accounts. Family offices and individual high-net-worth principals typically have direct cash. The structure is not available to operating companies without substantial cash reserves.</w:t>
      </w:r>
    </w:p>
    <w:p>
      <w:pPr>
        <w:pStyle w:val="Heading3"/>
        <w:spacing w:after="120" w:before="240"/>
      </w:pPr>
      <w:r>
        <w:rPr>
          <w:b/>
          <w:bCs/>
          <w:color w:val="374151"/>
          <w:sz w:val="24"/>
          <w:szCs w:val="24"/>
        </w:rPr>
        <w:t xml:space="preserve">6.4 Tax-Exempt Acquisition Bond (Where Eligible)</w:t>
      </w:r>
    </w:p>
    <w:p>
      <w:pPr>
        <w:spacing w:after="140" w:line="320"/>
        <w:jc w:val="both"/>
      </w:pPr>
      <w:r>
        <w:rPr>
          <w:color w:val="1F2937"/>
          <w:sz w:val="22"/>
          <w:szCs w:val="22"/>
        </w:rPr>
        <w:t xml:space="preserve">In rare cases, the target qualifies for tax-exempt bond treatment. The most common scenarios:</w:t>
      </w:r>
    </w:p>
    <w:p>
      <w:pPr>
        <w:pStyle w:val="ListParagraph"/>
        <w:numPr>
          <w:ilvl w:val="0"/>
          <w:numId w:val="2"/>
        </w:numPr>
        <w:spacing w:after="80" w:line="300"/>
      </w:pPr>
      <w:r>
        <w:rPr>
          <w:color w:val="1F2937"/>
          <w:sz w:val="22"/>
          <w:szCs w:val="22"/>
        </w:rPr>
        <w:t xml:space="preserve">Target is a 501(c)(3) nonprofit being acquired by another 501(c)(3) (nonprofit hospital acquiring another nonprofit hospital, nonprofit senior living organization acquiring another nonprofit operator) — qualifies for tax-exempt 501(c)(3) bonds under IRC §145</w:t>
      </w:r>
    </w:p>
    <w:p>
      <w:pPr>
        <w:pStyle w:val="ListParagraph"/>
        <w:numPr>
          <w:ilvl w:val="0"/>
          <w:numId w:val="2"/>
        </w:numPr>
        <w:spacing w:after="80" w:line="300"/>
      </w:pPr>
      <w:r>
        <w:rPr>
          <w:color w:val="1F2937"/>
          <w:sz w:val="22"/>
          <w:szCs w:val="22"/>
        </w:rPr>
        <w:t xml:space="preserve">Target is a qualifying facility under IRC §142 (airport, residential rental, sewage, solid waste, etc.) — qualifies for tax-exempt PAB treatment subject to volume cap allocation</w:t>
      </w:r>
    </w:p>
    <w:p>
      <w:pPr>
        <w:pStyle w:val="ListParagraph"/>
        <w:numPr>
          <w:ilvl w:val="0"/>
          <w:numId w:val="2"/>
        </w:numPr>
        <w:spacing w:after="80" w:line="300"/>
      </w:pPr>
      <w:r>
        <w:rPr>
          <w:color w:val="1F2937"/>
          <w:sz w:val="22"/>
          <w:szCs w:val="22"/>
        </w:rPr>
        <w:t xml:space="preserve">Target is a manufacturing facility within the $10M IRC §144(a) qualified small issue limit — qualifies for tax-exempt small issue manufacturing bonds</w:t>
      </w:r>
    </w:p>
    <w:p>
      <w:pPr>
        <w:spacing w:after="140" w:line="320"/>
        <w:jc w:val="both"/>
      </w:pPr>
      <w:r>
        <w:rPr>
          <w:color w:val="1F2937"/>
          <w:sz w:val="22"/>
          <w:szCs w:val="22"/>
        </w:rPr>
        <w:t xml:space="preserve">When a deal qualifies for tax-exempt treatment, the economic benefit is substantial. The yield differential between taxable and tax-exempt is typically 150-250 basis points on similarly rated paper. On a long-dated bond, the NPV of the interest savings is meaningful.</w:t>
      </w:r>
    </w:p>
    <w:p>
      <w:pPr>
        <w:spacing w:after="140" w:line="320"/>
        <w:jc w:val="both"/>
      </w:pPr>
      <w:r>
        <w:rPr>
          <w:color w:val="1F2937"/>
          <w:sz w:val="22"/>
          <w:szCs w:val="22"/>
        </w:rPr>
        <w:t xml:space="preserve">However, tax-exempt acquisition bonds require additional structuring discipline. The bonds must satisfy ongoing tax-exempt compliance throughout their life, including private use limits, arbitrage rebate, yield restriction, and (for PABs) the qualified project tests. The transaction structure must accommodate these constraints. Bond counsel involvement is intensive.</w:t>
      </w:r>
    </w:p>
    <w:p>
      <w:pPr>
        <w:pStyle w:val="Heading3"/>
        <w:spacing w:after="120" w:before="240"/>
      </w:pPr>
      <w:r>
        <w:rPr>
          <w:b/>
          <w:bCs/>
          <w:color w:val="374151"/>
          <w:sz w:val="24"/>
          <w:szCs w:val="24"/>
        </w:rPr>
        <w:t xml:space="preserve">6.5 Delayed Draw Bond (For Buy-and-Build Strategies)</w:t>
      </w:r>
    </w:p>
    <w:p>
      <w:pPr>
        <w:spacing w:after="140" w:line="320"/>
        <w:jc w:val="both"/>
      </w:pPr>
      <w:r>
        <w:rPr>
          <w:color w:val="1F2937"/>
          <w:sz w:val="22"/>
          <w:szCs w:val="22"/>
        </w:rPr>
        <w:t xml:space="preserve">When the sponsor's strategy is a platform acquisition plus multiple add-ons, a delayed draw bond provides committed financing capacity for add-ons that draws down as add-ons close. Structure:</w:t>
      </w:r>
    </w:p>
    <w:p>
      <w:pPr>
        <w:pStyle w:val="ListParagraph"/>
        <w:numPr>
          <w:ilvl w:val="0"/>
          <w:numId w:val="2"/>
        </w:numPr>
        <w:spacing w:after="80" w:line="300"/>
      </w:pPr>
      <w:r>
        <w:rPr>
          <w:color w:val="1F2937"/>
          <w:sz w:val="22"/>
          <w:szCs w:val="22"/>
        </w:rPr>
        <w:t xml:space="preserve">Initial draw at platform acquisition close — funds the platform acquisition</w:t>
      </w:r>
    </w:p>
    <w:p>
      <w:pPr>
        <w:pStyle w:val="ListParagraph"/>
        <w:numPr>
          <w:ilvl w:val="0"/>
          <w:numId w:val="2"/>
        </w:numPr>
        <w:spacing w:after="80" w:line="300"/>
      </w:pPr>
      <w:r>
        <w:rPr>
          <w:color w:val="1F2937"/>
          <w:sz w:val="22"/>
          <w:szCs w:val="22"/>
        </w:rPr>
        <w:t xml:space="preserve">Committed delayed draw capacity — bond is sized larger than the platform deal, with the excess committed but undrawn</w:t>
      </w:r>
    </w:p>
    <w:p>
      <w:pPr>
        <w:pStyle w:val="ListParagraph"/>
        <w:numPr>
          <w:ilvl w:val="0"/>
          <w:numId w:val="2"/>
        </w:numPr>
        <w:spacing w:after="80" w:line="300"/>
      </w:pPr>
      <w:r>
        <w:rPr>
          <w:color w:val="1F2937"/>
          <w:sz w:val="22"/>
          <w:szCs w:val="22"/>
        </w:rPr>
        <w:t xml:space="preserve">Add-on drawing conditions — pro forma acquisition coverage test, equity contribution requirement, target meets defined criteria, no events of default</w:t>
      </w:r>
    </w:p>
    <w:p>
      <w:pPr>
        <w:pStyle w:val="ListParagraph"/>
        <w:numPr>
          <w:ilvl w:val="0"/>
          <w:numId w:val="2"/>
        </w:numPr>
        <w:spacing w:after="80" w:line="300"/>
      </w:pPr>
      <w:r>
        <w:rPr>
          <w:color w:val="1F2937"/>
          <w:sz w:val="22"/>
          <w:szCs w:val="22"/>
        </w:rPr>
        <w:t xml:space="preserve">Commitment fee on undrawn portion — typically 25-50 basis points per year on the unfunded commitment</w:t>
      </w:r>
    </w:p>
    <w:p>
      <w:pPr>
        <w:pStyle w:val="ListParagraph"/>
        <w:numPr>
          <w:ilvl w:val="0"/>
          <w:numId w:val="2"/>
        </w:numPr>
        <w:spacing w:after="80" w:line="300"/>
      </w:pPr>
      <w:r>
        <w:rPr>
          <w:color w:val="1F2937"/>
          <w:sz w:val="22"/>
          <w:szCs w:val="22"/>
        </w:rPr>
        <w:t xml:space="preserve">Time limit on delayed draw — typically 24-36 months from initial close, after which the unfunded commitment expires</w:t>
      </w:r>
    </w:p>
    <w:p>
      <w:pPr>
        <w:spacing w:after="140" w:line="320"/>
        <w:jc w:val="both"/>
      </w:pPr>
      <w:r>
        <w:rPr>
          <w:color w:val="1F2937"/>
          <w:sz w:val="22"/>
          <w:szCs w:val="22"/>
        </w:rPr>
        <w:t xml:space="preserve">Delayed draw bonds eliminate the financing risk for the sponsor's add-on strategy. The sponsor knows that committed financing is available for add-ons; they can move quickly on opportunities without re-running the bond market each time. The trade-off is the commitment fee on the unfunded portion.</w:t>
      </w:r>
    </w:p>
    <w:p>
      <w:pPr>
        <w:pStyle w:val="Heading3"/>
        <w:spacing w:after="120" w:before="240"/>
      </w:pPr>
      <w:r>
        <w:rPr>
          <w:b/>
          <w:bCs/>
          <w:color w:val="374151"/>
          <w:sz w:val="24"/>
          <w:szCs w:val="24"/>
        </w:rPr>
        <w:t xml:space="preserve">6.6 Acquisition Bond with Add-On Refinancing Mechanic</w:t>
      </w:r>
    </w:p>
    <w:p>
      <w:pPr>
        <w:spacing w:after="140" w:line="320"/>
        <w:jc w:val="both"/>
      </w:pPr>
      <w:r>
        <w:rPr>
          <w:color w:val="1F2937"/>
          <w:sz w:val="22"/>
          <w:szCs w:val="22"/>
        </w:rPr>
        <w:t xml:space="preserve">Alternative to the delayed draw bond: structure the initial platform acquisition bond with provisions allowing for refinancing add-ons through additional bond issuance under the existing indenture. The mechanic:</w:t>
      </w:r>
    </w:p>
    <w:p>
      <w:pPr>
        <w:pStyle w:val="ListParagraph"/>
        <w:numPr>
          <w:ilvl w:val="0"/>
          <w:numId w:val="2"/>
        </w:numPr>
        <w:spacing w:after="80" w:line="300"/>
      </w:pPr>
      <w:r>
        <w:rPr>
          <w:color w:val="1F2937"/>
          <w:sz w:val="22"/>
          <w:szCs w:val="22"/>
        </w:rPr>
        <w:t xml:space="preserve">Initial bond at platform acquisition — funds the platform acquisition only</w:t>
      </w:r>
    </w:p>
    <w:p>
      <w:pPr>
        <w:pStyle w:val="ListParagraph"/>
        <w:numPr>
          <w:ilvl w:val="0"/>
          <w:numId w:val="2"/>
        </w:numPr>
        <w:spacing w:after="80" w:line="300"/>
      </w:pPr>
      <w:r>
        <w:rPr>
          <w:color w:val="1F2937"/>
          <w:sz w:val="22"/>
          <w:szCs w:val="22"/>
        </w:rPr>
        <w:t xml:space="preserve">Indenture permits additional bond issuance under defined conditions</w:t>
      </w:r>
    </w:p>
    <w:p>
      <w:pPr>
        <w:pStyle w:val="ListParagraph"/>
        <w:numPr>
          <w:ilvl w:val="0"/>
          <w:numId w:val="2"/>
        </w:numPr>
        <w:spacing w:after="80" w:line="300"/>
      </w:pPr>
      <w:r>
        <w:rPr>
          <w:color w:val="1F2937"/>
          <w:sz w:val="22"/>
          <w:szCs w:val="22"/>
        </w:rPr>
        <w:t xml:space="preserve">Each add-on triggers a small bond add-on transaction sized to the add-on's financing need</w:t>
      </w:r>
    </w:p>
    <w:p>
      <w:pPr>
        <w:pStyle w:val="ListParagraph"/>
        <w:numPr>
          <w:ilvl w:val="0"/>
          <w:numId w:val="2"/>
        </w:numPr>
        <w:spacing w:after="80" w:line="300"/>
      </w:pPr>
      <w:r>
        <w:rPr>
          <w:color w:val="1F2937"/>
          <w:sz w:val="22"/>
          <w:szCs w:val="22"/>
        </w:rPr>
        <w:t xml:space="preserve">Each add-on bond shares the same security, indenture, and structural framework as the original bond</w:t>
      </w:r>
    </w:p>
    <w:p>
      <w:pPr>
        <w:spacing w:after="140" w:line="320"/>
        <w:jc w:val="both"/>
      </w:pPr>
      <w:r>
        <w:rPr>
          <w:color w:val="1F2937"/>
          <w:sz w:val="22"/>
          <w:szCs w:val="22"/>
        </w:rPr>
        <w:t xml:space="preserve">The benefit relative to delayed draw is that the platform pays bond interest only on principal actually deployed. The cost is that each add-on requires a discrete bond execution (with execution time and execution costs). For smaller, more frequent add-ons, delayed draw is operationally cleaner; for larger, less frequent add-ons, the add-on refinancing mechanic is more cost-efficient.</w:t>
      </w:r>
    </w:p>
    <w:p>
      <w:pPr>
        <w:pStyle w:val="Heading3"/>
        <w:spacing w:after="120" w:before="240"/>
      </w:pPr>
      <w:r>
        <w:rPr>
          <w:b/>
          <w:bCs/>
          <w:color w:val="374151"/>
          <w:sz w:val="24"/>
          <w:szCs w:val="24"/>
        </w:rPr>
        <w:t xml:space="preserve">6.7 Working Capital Companion Facility</w:t>
      </w:r>
    </w:p>
    <w:p>
      <w:pPr>
        <w:spacing w:after="140" w:line="320"/>
        <w:jc w:val="both"/>
      </w:pPr>
      <w:r>
        <w:rPr>
          <w:color w:val="1F2937"/>
          <w:sz w:val="22"/>
          <w:szCs w:val="22"/>
        </w:rPr>
        <w:t xml:space="preserve">Many M&amp;A acquisition bonds are paired with a working capital facility — typically a smaller revolver or asset-based lending facility that handles the platform's day-to-day working capital needs. The bond covers the acquisition itself plus reserves; the working capital facility covers seasonal swings, customer payment timing, and integration-driven working capital expansion.</w:t>
      </w:r>
    </w:p>
    <w:p>
      <w:pPr>
        <w:spacing w:after="140" w:line="320"/>
        <w:jc w:val="both"/>
      </w:pPr>
      <w:r>
        <w:rPr>
          <w:color w:val="1F2937"/>
          <w:sz w:val="22"/>
          <w:szCs w:val="22"/>
        </w:rPr>
        <w:t xml:space="preserve">From Nest's perspective, the working capital facility is typically provided by a partner bank (the platform's primary depository relationship) rather than structured by Nest as a bond. The intercreditor agreement defines the relative priority — typically, the working capital facility has priority on receivables and inventory, while the bond has priority on fixed assets and equity.</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7. Amortization, Reserves, and Covenant Profile</w:t>
      </w:r>
    </w:p>
    <w:p>
      <w:pPr>
        <w:pStyle w:val="Heading3"/>
        <w:spacing w:after="120" w:before="240"/>
      </w:pPr>
      <w:r>
        <w:rPr>
          <w:b/>
          <w:bCs/>
          <w:color w:val="374151"/>
          <w:sz w:val="24"/>
          <w:szCs w:val="24"/>
        </w:rPr>
        <w:t xml:space="preserve">7.1 The Amortization Profile</w:t>
      </w:r>
    </w:p>
    <w:p>
      <w:pPr>
        <w:spacing w:after="140" w:line="320"/>
        <w:jc w:val="both"/>
      </w:pPr>
      <w:r>
        <w:rPr>
          <w:color w:val="1F2937"/>
          <w:sz w:val="22"/>
          <w:szCs w:val="22"/>
        </w:rPr>
        <w:t xml:space="preserve">M&amp;A acquisition bond amortization is calibrated to the integration timeline and the expected hold period. The defining tension: the platform needs cash flow flexibility during integration (suggesting deferred amortization) but bondholders need credit protection (suggesting steady amortization). The structuring engine balances these tensions through the following standard pattern:</w:t>
      </w:r>
    </w:p>
    <w:p>
      <w:pPr>
        <w:spacing w:after="80" w:before="180"/>
      </w:pPr>
      <w:r>
        <w:rPr>
          <w:b/>
          <w:bCs/>
          <w:i/>
          <w:iCs/>
          <w:color w:val="374151"/>
          <w:sz w:val="22"/>
          <w:szCs w:val="22"/>
        </w:rPr>
        <w:t xml:space="preserve">Phase 1 — Integration Period (Months 0-18 to 0-24)</w:t>
      </w:r>
    </w:p>
    <w:p>
      <w:pPr>
        <w:pStyle w:val="ListParagraph"/>
        <w:numPr>
          <w:ilvl w:val="0"/>
          <w:numId w:val="2"/>
        </w:numPr>
        <w:spacing w:after="80" w:line="300"/>
      </w:pPr>
      <w:r>
        <w:rPr>
          <w:color w:val="1F2937"/>
          <w:sz w:val="22"/>
          <w:szCs w:val="22"/>
        </w:rPr>
        <w:t xml:space="preserve">Interest only payments</w:t>
      </w:r>
    </w:p>
    <w:p>
      <w:pPr>
        <w:pStyle w:val="ListParagraph"/>
        <w:numPr>
          <w:ilvl w:val="0"/>
          <w:numId w:val="2"/>
        </w:numPr>
        <w:spacing w:after="80" w:line="300"/>
      </w:pPr>
      <w:r>
        <w:rPr>
          <w:color w:val="1F2937"/>
          <w:sz w:val="22"/>
          <w:szCs w:val="22"/>
        </w:rPr>
        <w:t xml:space="preserve">Capitalized interest reserve funds a portion of integration-period interest (typically 6-12 months)</w:t>
      </w:r>
    </w:p>
    <w:p>
      <w:pPr>
        <w:pStyle w:val="ListParagraph"/>
        <w:numPr>
          <w:ilvl w:val="0"/>
          <w:numId w:val="2"/>
        </w:numPr>
        <w:spacing w:after="80" w:line="300"/>
      </w:pPr>
      <w:r>
        <w:rPr>
          <w:color w:val="1F2937"/>
          <w:sz w:val="22"/>
          <w:szCs w:val="22"/>
        </w:rPr>
        <w:t xml:space="preserve">Platform cash flow covers the balance of integration-period interest</w:t>
      </w:r>
    </w:p>
    <w:p>
      <w:pPr>
        <w:pStyle w:val="ListParagraph"/>
        <w:numPr>
          <w:ilvl w:val="0"/>
          <w:numId w:val="2"/>
        </w:numPr>
        <w:spacing w:after="80" w:line="300"/>
      </w:pPr>
      <w:r>
        <w:rPr>
          <w:color w:val="1F2937"/>
          <w:sz w:val="22"/>
          <w:szCs w:val="22"/>
        </w:rPr>
        <w:t xml:space="preserve">No principal amortization</w:t>
      </w:r>
    </w:p>
    <w:p>
      <w:pPr>
        <w:pStyle w:val="ListParagraph"/>
        <w:numPr>
          <w:ilvl w:val="0"/>
          <w:numId w:val="2"/>
        </w:numPr>
        <w:spacing w:after="80" w:line="300"/>
      </w:pPr>
      <w:r>
        <w:rPr>
          <w:color w:val="1F2937"/>
          <w:sz w:val="22"/>
          <w:szCs w:val="22"/>
        </w:rPr>
        <w:t xml:space="preserve">Reserves are static (DSRF was funded at close; not being drawn or replenished)</w:t>
      </w:r>
    </w:p>
    <w:p>
      <w:pPr>
        <w:spacing w:after="80" w:before="180"/>
      </w:pPr>
      <w:r>
        <w:rPr>
          <w:b/>
          <w:bCs/>
          <w:i/>
          <w:iCs/>
          <w:color w:val="374151"/>
          <w:sz w:val="22"/>
          <w:szCs w:val="22"/>
        </w:rPr>
        <w:t xml:space="preserve">Phase 2 — Stabilization Period (Months 18 or 24 through Year 4 or 5)</w:t>
      </w:r>
    </w:p>
    <w:p>
      <w:pPr>
        <w:pStyle w:val="ListParagraph"/>
        <w:numPr>
          <w:ilvl w:val="0"/>
          <w:numId w:val="2"/>
        </w:numPr>
        <w:spacing w:after="80" w:line="300"/>
      </w:pPr>
      <w:r>
        <w:rPr>
          <w:color w:val="1F2937"/>
          <w:sz w:val="22"/>
          <w:szCs w:val="22"/>
        </w:rPr>
        <w:t xml:space="preserve">Modest principal amortization — typically 1-3% of original principal per year</w:t>
      </w:r>
    </w:p>
    <w:p>
      <w:pPr>
        <w:pStyle w:val="ListParagraph"/>
        <w:numPr>
          <w:ilvl w:val="0"/>
          <w:numId w:val="2"/>
        </w:numPr>
        <w:spacing w:after="80" w:line="300"/>
      </w:pPr>
      <w:r>
        <w:rPr>
          <w:color w:val="1F2937"/>
          <w:sz w:val="22"/>
          <w:szCs w:val="22"/>
        </w:rPr>
        <w:t xml:space="preserve">Platform cash flow fully covers debt service</w:t>
      </w:r>
    </w:p>
    <w:p>
      <w:pPr>
        <w:pStyle w:val="ListParagraph"/>
        <w:numPr>
          <w:ilvl w:val="0"/>
          <w:numId w:val="2"/>
        </w:numPr>
        <w:spacing w:after="80" w:line="300"/>
      </w:pPr>
      <w:r>
        <w:rPr>
          <w:color w:val="1F2937"/>
          <w:sz w:val="22"/>
          <w:szCs w:val="22"/>
        </w:rPr>
        <w:t xml:space="preserve">Excess cash flow accumulates for add-on equity contributions, capital reinvestment, or sponsor distributions (subject to restricted payment covenant)</w:t>
      </w:r>
    </w:p>
    <w:p>
      <w:pPr>
        <w:pStyle w:val="ListParagraph"/>
        <w:numPr>
          <w:ilvl w:val="0"/>
          <w:numId w:val="2"/>
        </w:numPr>
        <w:spacing w:after="80" w:line="300"/>
      </w:pPr>
      <w:r>
        <w:rPr>
          <w:color w:val="1F2937"/>
          <w:sz w:val="22"/>
          <w:szCs w:val="22"/>
        </w:rPr>
        <w:t xml:space="preserve">Coverage tests apply (covenant holiday has expired)</w:t>
      </w:r>
    </w:p>
    <w:p>
      <w:pPr>
        <w:spacing w:after="80" w:before="180"/>
      </w:pPr>
      <w:r>
        <w:rPr>
          <w:b/>
          <w:bCs/>
          <w:i/>
          <w:iCs/>
          <w:color w:val="374151"/>
          <w:sz w:val="22"/>
          <w:szCs w:val="22"/>
        </w:rPr>
        <w:t xml:space="preserve">Phase 3 — Pre-Exit Period (Years 5-7)</w:t>
      </w:r>
    </w:p>
    <w:p>
      <w:pPr>
        <w:pStyle w:val="ListParagraph"/>
        <w:numPr>
          <w:ilvl w:val="0"/>
          <w:numId w:val="2"/>
        </w:numPr>
        <w:spacing w:after="80" w:line="300"/>
      </w:pPr>
      <w:r>
        <w:rPr>
          <w:color w:val="1F2937"/>
          <w:sz w:val="22"/>
          <w:szCs w:val="22"/>
        </w:rPr>
        <w:t xml:space="preserve">Modest principal amortization continues (1-3% per year) or steps up to 3-5% per year</w:t>
      </w:r>
    </w:p>
    <w:p>
      <w:pPr>
        <w:pStyle w:val="ListParagraph"/>
        <w:numPr>
          <w:ilvl w:val="0"/>
          <w:numId w:val="2"/>
        </w:numPr>
        <w:spacing w:after="80" w:line="300"/>
      </w:pPr>
      <w:r>
        <w:rPr>
          <w:color w:val="1F2937"/>
          <w:sz w:val="22"/>
          <w:szCs w:val="22"/>
        </w:rPr>
        <w:t xml:space="preserve">Platform prepares for exit</w:t>
      </w:r>
    </w:p>
    <w:p>
      <w:pPr>
        <w:pStyle w:val="ListParagraph"/>
        <w:numPr>
          <w:ilvl w:val="0"/>
          <w:numId w:val="2"/>
        </w:numPr>
        <w:spacing w:after="80" w:line="300"/>
      </w:pPr>
      <w:r>
        <w:rPr>
          <w:color w:val="1F2937"/>
          <w:sz w:val="22"/>
          <w:szCs w:val="22"/>
        </w:rPr>
        <w:t xml:space="preserve">Call window opens (typically 3-year non-call followed by call at premium declining to par by year 5-6)</w:t>
      </w:r>
    </w:p>
    <w:p>
      <w:pPr>
        <w:pStyle w:val="ListParagraph"/>
        <w:numPr>
          <w:ilvl w:val="0"/>
          <w:numId w:val="2"/>
        </w:numPr>
        <w:spacing w:after="80" w:line="300"/>
      </w:pPr>
      <w:r>
        <w:rPr>
          <w:color w:val="1F2937"/>
          <w:sz w:val="22"/>
          <w:szCs w:val="22"/>
        </w:rPr>
        <w:t xml:space="preserve">Bond likely refinanced or repaid at exit</w:t>
      </w:r>
    </w:p>
    <w:p>
      <w:pPr>
        <w:spacing w:after="80" w:before="180"/>
      </w:pPr>
      <w:r>
        <w:rPr>
          <w:b/>
          <w:bCs/>
          <w:i/>
          <w:iCs/>
          <w:color w:val="374151"/>
          <w:sz w:val="22"/>
          <w:szCs w:val="22"/>
        </w:rPr>
        <w:t xml:space="preserve">Phase 4 — Final Balloon (Maturity)</w:t>
      </w:r>
    </w:p>
    <w:p>
      <w:pPr>
        <w:pStyle w:val="ListParagraph"/>
        <w:numPr>
          <w:ilvl w:val="0"/>
          <w:numId w:val="2"/>
        </w:numPr>
        <w:spacing w:after="80" w:line="300"/>
      </w:pPr>
      <w:r>
        <w:rPr>
          <w:color w:val="1F2937"/>
          <w:sz w:val="22"/>
          <w:szCs w:val="22"/>
        </w:rPr>
        <w:t xml:space="preserve">Substantial remaining principal balance at stated maturity</w:t>
      </w:r>
    </w:p>
    <w:p>
      <w:pPr>
        <w:pStyle w:val="ListParagraph"/>
        <w:numPr>
          <w:ilvl w:val="0"/>
          <w:numId w:val="2"/>
        </w:numPr>
        <w:spacing w:after="80" w:line="300"/>
      </w:pPr>
      <w:r>
        <w:rPr>
          <w:color w:val="1F2937"/>
          <w:sz w:val="22"/>
          <w:szCs w:val="22"/>
        </w:rPr>
        <w:t xml:space="preserve">Refinancing or sponsor exit triggers full repayment</w:t>
      </w:r>
    </w:p>
    <w:p>
      <w:pPr>
        <w:pStyle w:val="ListParagraph"/>
        <w:numPr>
          <w:ilvl w:val="0"/>
          <w:numId w:val="2"/>
        </w:numPr>
        <w:spacing w:after="80" w:line="300"/>
      </w:pPr>
      <w:r>
        <w:rPr>
          <w:color w:val="1F2937"/>
          <w:sz w:val="22"/>
          <w:szCs w:val="22"/>
        </w:rPr>
        <w:t xml:space="preserve">If neither has occurred, the platform must refinance to extend or sponsor must support paydown</w:t>
      </w:r>
    </w:p>
    <w:p>
      <w:pPr>
        <w:spacing w:after="140" w:line="320"/>
        <w:jc w:val="both"/>
      </w:pPr>
      <w:r>
        <w:rPr>
          <w:color w:val="1F2937"/>
          <w:sz w:val="22"/>
          <w:szCs w:val="22"/>
        </w:rPr>
        <w:t xml:space="preserve">This four-phase pattern is the standard M&amp;A acquisition bond amortization profile. Variations occur for specific deal characteristics — longer integration periods for complex integrations, accelerated amortization for sponsors who want to delever during the hold period, or fully bulleted structures (no amortization, all principal at maturity) for very-short-hold strategies.</w:t>
      </w:r>
    </w:p>
    <w:p>
      <w:pPr>
        <w:pStyle w:val="Heading3"/>
        <w:spacing w:after="120" w:before="240"/>
      </w:pPr>
      <w:r>
        <w:rPr>
          <w:b/>
          <w:bCs/>
          <w:color w:val="374151"/>
          <w:sz w:val="24"/>
          <w:szCs w:val="24"/>
        </w:rPr>
        <w:t xml:space="preserve">7.2 Reserves</w:t>
      </w:r>
    </w:p>
    <w:p>
      <w:pPr>
        <w:spacing w:after="140" w:line="320"/>
        <w:jc w:val="both"/>
      </w:pPr>
      <w:r>
        <w:rPr>
          <w:color w:val="1F2937"/>
          <w:sz w:val="22"/>
          <w:szCs w:val="22"/>
        </w:rPr>
        <w:t xml:space="preserve">Reserve structure for M&amp;A acquisition bonds includes:</w:t>
      </w:r>
    </w:p>
    <w:p>
      <w:pPr>
        <w:spacing w:after="80" w:before="180"/>
      </w:pPr>
      <w:r>
        <w:rPr>
          <w:b/>
          <w:bCs/>
          <w:i/>
          <w:iCs/>
          <w:color w:val="374151"/>
          <w:sz w:val="22"/>
          <w:szCs w:val="22"/>
        </w:rPr>
        <w:t xml:space="preserve">Debt Service Reserve Fund (DSRF)</w:t>
      </w:r>
    </w:p>
    <w:p>
      <w:pPr>
        <w:spacing w:after="140" w:line="320"/>
        <w:jc w:val="both"/>
      </w:pPr>
      <w:r>
        <w:rPr>
          <w:color w:val="1F2937"/>
          <w:sz w:val="22"/>
          <w:szCs w:val="22"/>
        </w:rPr>
        <w:t xml:space="preserve">Standard DSRF sized at 12 months of debt service or MADS (whichever is greater under IRC §148(d) safe harbor for any tax-exempt component; for taxable bonds, typically 12 months of debt service). Funded at close from bond proceeds.</w:t>
      </w:r>
    </w:p>
    <w:p>
      <w:pPr>
        <w:spacing w:after="80" w:before="180"/>
      </w:pPr>
      <w:r>
        <w:rPr>
          <w:b/>
          <w:bCs/>
          <w:i/>
          <w:iCs/>
          <w:color w:val="374151"/>
          <w:sz w:val="22"/>
          <w:szCs w:val="22"/>
        </w:rPr>
        <w:t xml:space="preserve">Capitalized Interest Reserve</w:t>
      </w:r>
    </w:p>
    <w:p>
      <w:pPr>
        <w:spacing w:after="140" w:line="320"/>
        <w:jc w:val="both"/>
      </w:pPr>
      <w:r>
        <w:rPr>
          <w:color w:val="1F2937"/>
          <w:sz w:val="22"/>
          <w:szCs w:val="22"/>
        </w:rPr>
        <w:t xml:space="preserve">Cap-I covers a defined portion of the integration period interest (typically 6-12 months). Funded at close from bond proceeds. Depleted as integration period interest is paid. Reset to zero at end of integration period.</w:t>
      </w:r>
    </w:p>
    <w:p>
      <w:pPr>
        <w:spacing w:after="80" w:before="180"/>
      </w:pPr>
      <w:r>
        <w:rPr>
          <w:b/>
          <w:bCs/>
          <w:i/>
          <w:iCs/>
          <w:color w:val="374151"/>
          <w:sz w:val="22"/>
          <w:szCs w:val="22"/>
        </w:rPr>
        <w:t xml:space="preserve">Operating Reserve</w:t>
      </w:r>
    </w:p>
    <w:p>
      <w:pPr>
        <w:spacing w:after="140" w:line="320"/>
        <w:jc w:val="both"/>
      </w:pPr>
      <w:r>
        <w:rPr>
          <w:color w:val="1F2937"/>
          <w:sz w:val="22"/>
          <w:szCs w:val="22"/>
        </w:rPr>
        <w:t xml:space="preserve">Sized to 3-6 months of platform operating expenses depending on sector and integration risk. Funded at close or built up from platform cash flow during integration period. Maintained for the bond's life.</w:t>
      </w:r>
    </w:p>
    <w:p>
      <w:pPr>
        <w:spacing w:after="80" w:before="180"/>
      </w:pPr>
      <w:r>
        <w:rPr>
          <w:b/>
          <w:bCs/>
          <w:i/>
          <w:iCs/>
          <w:color w:val="374151"/>
          <w:sz w:val="22"/>
          <w:szCs w:val="22"/>
        </w:rPr>
        <w:t xml:space="preserve">Integration Cost Reserve</w:t>
      </w:r>
    </w:p>
    <w:p>
      <w:pPr>
        <w:spacing w:after="140" w:line="320"/>
        <w:jc w:val="both"/>
      </w:pPr>
      <w:r>
        <w:rPr>
          <w:color w:val="1F2937"/>
          <w:sz w:val="22"/>
          <w:szCs w:val="22"/>
        </w:rPr>
        <w:t xml:space="preserve">Reserve for one-time integration costs (consulting, systems integration, severance, facility consolidation). Sized based on integration plan estimates. Funded at close from bond proceeds. Depleted during integration. Returned to platform after integration if not fully consumed.</w:t>
      </w:r>
    </w:p>
    <w:p>
      <w:pPr>
        <w:spacing w:after="80" w:before="180"/>
      </w:pPr>
      <w:r>
        <w:rPr>
          <w:b/>
          <w:bCs/>
          <w:i/>
          <w:iCs/>
          <w:color w:val="374151"/>
          <w:sz w:val="22"/>
          <w:szCs w:val="22"/>
        </w:rPr>
        <w:t xml:space="preserve">R&amp;R Reserve (Where Applicable)</w:t>
      </w:r>
    </w:p>
    <w:p>
      <w:pPr>
        <w:spacing w:after="140" w:line="320"/>
        <w:jc w:val="both"/>
      </w:pPr>
      <w:r>
        <w:rPr>
          <w:color w:val="1F2937"/>
          <w:sz w:val="22"/>
          <w:szCs w:val="22"/>
        </w:rPr>
        <w:t xml:space="preserve">For real-asset-heavy platforms (industrial, equipment-intensive), repair and replacement reserve sized per industry standard. For service-heavy platforms, R&amp;R may not apply.</w:t>
      </w:r>
    </w:p>
    <w:p>
      <w:pPr>
        <w:spacing w:after="80" w:before="180"/>
      </w:pPr>
      <w:r>
        <w:rPr>
          <w:b/>
          <w:bCs/>
          <w:i/>
          <w:iCs/>
          <w:color w:val="374151"/>
          <w:sz w:val="22"/>
          <w:szCs w:val="22"/>
        </w:rPr>
        <w:t xml:space="preserve">Cost of Issuance Fund</w:t>
      </w:r>
    </w:p>
    <w:p>
      <w:pPr>
        <w:spacing w:after="140" w:line="320"/>
        <w:jc w:val="both"/>
      </w:pPr>
      <w:r>
        <w:rPr>
          <w:color w:val="1F2937"/>
          <w:sz w:val="22"/>
          <w:szCs w:val="22"/>
        </w:rPr>
        <w:t xml:space="preserve">Standard COI fund for bond closing costs and ongoing administration. Funded at close, disbursed in the months following close.</w:t>
      </w:r>
    </w:p>
    <w:p>
      <w:pPr>
        <w:pStyle w:val="Heading3"/>
        <w:spacing w:after="120" w:before="240"/>
      </w:pPr>
      <w:r>
        <w:rPr>
          <w:b/>
          <w:bCs/>
          <w:color w:val="374151"/>
          <w:sz w:val="24"/>
          <w:szCs w:val="24"/>
        </w:rPr>
        <w:t xml:space="preserve">7.3 The Covenant Package</w:t>
      </w:r>
    </w:p>
    <w:p>
      <w:pPr>
        <w:spacing w:after="140" w:line="320"/>
        <w:jc w:val="both"/>
      </w:pPr>
      <w:r>
        <w:rPr>
          <w:color w:val="1F2937"/>
          <w:sz w:val="22"/>
          <w:szCs w:val="22"/>
        </w:rPr>
        <w:t xml:space="preserve">The covenant package for M&amp;A acquisition bonds is sponsor-friendly relative to vanilla high-yield while protective relative to bank syndicated loans. Standard package:</w:t>
      </w:r>
    </w:p>
    <w:p>
      <w:pPr>
        <w:spacing w:after="80" w:before="180"/>
      </w:pPr>
      <w:r>
        <w:rPr>
          <w:b/>
          <w:bCs/>
          <w:i/>
          <w:iCs/>
          <w:color w:val="374151"/>
          <w:sz w:val="22"/>
          <w:szCs w:val="22"/>
        </w:rPr>
        <w:t xml:space="preserve">Financial Maintenance Covenants</w:t>
      </w:r>
    </w:p>
    <w:p>
      <w:pPr>
        <w:pStyle w:val="ListParagraph"/>
        <w:numPr>
          <w:ilvl w:val="0"/>
          <w:numId w:val="2"/>
        </w:numPr>
        <w:spacing w:after="80" w:line="300"/>
      </w:pPr>
      <w:r>
        <w:rPr>
          <w:color w:val="1F2937"/>
          <w:sz w:val="22"/>
          <w:szCs w:val="22"/>
        </w:rPr>
        <w:t xml:space="preserve">DSCR (or MADS coverage): 1.20x minimum, tested quarterly after the covenant holiday expires</w:t>
      </w:r>
    </w:p>
    <w:p>
      <w:pPr>
        <w:pStyle w:val="ListParagraph"/>
        <w:numPr>
          <w:ilvl w:val="0"/>
          <w:numId w:val="2"/>
        </w:numPr>
        <w:spacing w:after="80" w:line="300"/>
      </w:pPr>
      <w:r>
        <w:rPr>
          <w:color w:val="1F2937"/>
          <w:sz w:val="22"/>
          <w:szCs w:val="22"/>
        </w:rPr>
        <w:t xml:space="preserve">Total leverage ratio: maximum threshold set at issuance, typically 5.5-6.0x; steps down by 0.5-1.0x by year 3 or 4</w:t>
      </w:r>
    </w:p>
    <w:p>
      <w:pPr>
        <w:pStyle w:val="ListParagraph"/>
        <w:numPr>
          <w:ilvl w:val="0"/>
          <w:numId w:val="2"/>
        </w:numPr>
        <w:spacing w:after="80" w:line="300"/>
      </w:pPr>
      <w:r>
        <w:rPr>
          <w:color w:val="1F2937"/>
          <w:sz w:val="22"/>
          <w:szCs w:val="22"/>
        </w:rPr>
        <w:t xml:space="preserve">Senior leverage ratio: maximum threshold typically 4.5-5.0x</w:t>
      </w:r>
    </w:p>
    <w:p>
      <w:pPr>
        <w:pStyle w:val="ListParagraph"/>
        <w:numPr>
          <w:ilvl w:val="0"/>
          <w:numId w:val="2"/>
        </w:numPr>
        <w:spacing w:after="80" w:line="300"/>
      </w:pPr>
      <w:r>
        <w:rPr>
          <w:color w:val="1F2937"/>
          <w:sz w:val="22"/>
          <w:szCs w:val="22"/>
        </w:rPr>
        <w:t xml:space="preserve">Fixed charge coverage: minimum 1.50-2.00x</w:t>
      </w:r>
    </w:p>
    <w:p>
      <w:pPr>
        <w:pStyle w:val="ListParagraph"/>
        <w:numPr>
          <w:ilvl w:val="0"/>
          <w:numId w:val="2"/>
        </w:numPr>
        <w:spacing w:after="80" w:line="300"/>
      </w:pPr>
      <w:r>
        <w:rPr>
          <w:color w:val="1F2937"/>
          <w:sz w:val="22"/>
          <w:szCs w:val="22"/>
        </w:rPr>
        <w:t xml:space="preserve">Equity contribution: minimum sponsor equity maintained in the capital structure</w:t>
      </w:r>
    </w:p>
    <w:p>
      <w:pPr>
        <w:spacing w:after="80" w:before="180"/>
      </w:pPr>
      <w:r>
        <w:rPr>
          <w:b/>
          <w:bCs/>
          <w:i/>
          <w:iCs/>
          <w:color w:val="374151"/>
          <w:sz w:val="22"/>
          <w:szCs w:val="22"/>
        </w:rPr>
        <w:t xml:space="preserve">Affirmative Covenants</w:t>
      </w:r>
    </w:p>
    <w:p>
      <w:pPr>
        <w:pStyle w:val="ListParagraph"/>
        <w:numPr>
          <w:ilvl w:val="0"/>
          <w:numId w:val="2"/>
        </w:numPr>
        <w:spacing w:after="80" w:line="300"/>
      </w:pPr>
      <w:r>
        <w:rPr>
          <w:color w:val="1F2937"/>
          <w:sz w:val="22"/>
          <w:szCs w:val="22"/>
        </w:rPr>
        <w:t xml:space="preserve">Annual audited financial statements within defined timeline</w:t>
      </w:r>
    </w:p>
    <w:p>
      <w:pPr>
        <w:pStyle w:val="ListParagraph"/>
        <w:numPr>
          <w:ilvl w:val="0"/>
          <w:numId w:val="2"/>
        </w:numPr>
        <w:spacing w:after="80" w:line="300"/>
      </w:pPr>
      <w:r>
        <w:rPr>
          <w:color w:val="1F2937"/>
          <w:sz w:val="22"/>
          <w:szCs w:val="22"/>
        </w:rPr>
        <w:t xml:space="preserve">Quarterly financial statements and compliance certificates</w:t>
      </w:r>
    </w:p>
    <w:p>
      <w:pPr>
        <w:pStyle w:val="ListParagraph"/>
        <w:numPr>
          <w:ilvl w:val="0"/>
          <w:numId w:val="2"/>
        </w:numPr>
        <w:spacing w:after="80" w:line="300"/>
      </w:pPr>
      <w:r>
        <w:rPr>
          <w:color w:val="1F2937"/>
          <w:sz w:val="22"/>
          <w:szCs w:val="22"/>
        </w:rPr>
        <w:t xml:space="preserve">Material event notice for events specified in Rule 15c2-12 (for any disclosable bond) or in the indenture</w:t>
      </w:r>
    </w:p>
    <w:p>
      <w:pPr>
        <w:pStyle w:val="ListParagraph"/>
        <w:numPr>
          <w:ilvl w:val="0"/>
          <w:numId w:val="2"/>
        </w:numPr>
        <w:spacing w:after="80" w:line="300"/>
      </w:pPr>
      <w:r>
        <w:rPr>
          <w:color w:val="1F2937"/>
          <w:sz w:val="22"/>
          <w:szCs w:val="22"/>
        </w:rPr>
        <w:t xml:space="preserve">Maintenance of insurance per indenture specifications</w:t>
      </w:r>
    </w:p>
    <w:p>
      <w:pPr>
        <w:pStyle w:val="ListParagraph"/>
        <w:numPr>
          <w:ilvl w:val="0"/>
          <w:numId w:val="2"/>
        </w:numPr>
        <w:spacing w:after="80" w:line="300"/>
      </w:pPr>
      <w:r>
        <w:rPr>
          <w:color w:val="1F2937"/>
          <w:sz w:val="22"/>
          <w:szCs w:val="22"/>
        </w:rPr>
        <w:t xml:space="preserve">Maintenance of corporate existence and qualifications</w:t>
      </w:r>
    </w:p>
    <w:p>
      <w:pPr>
        <w:pStyle w:val="ListParagraph"/>
        <w:numPr>
          <w:ilvl w:val="0"/>
          <w:numId w:val="2"/>
        </w:numPr>
        <w:spacing w:after="80" w:line="300"/>
      </w:pPr>
      <w:r>
        <w:rPr>
          <w:color w:val="1F2937"/>
          <w:sz w:val="22"/>
          <w:szCs w:val="22"/>
        </w:rPr>
        <w:t xml:space="preserve">Compliance with laws and regulations</w:t>
      </w:r>
    </w:p>
    <w:p>
      <w:pPr>
        <w:pStyle w:val="ListParagraph"/>
        <w:numPr>
          <w:ilvl w:val="0"/>
          <w:numId w:val="2"/>
        </w:numPr>
        <w:spacing w:after="80" w:line="300"/>
      </w:pPr>
      <w:r>
        <w:rPr>
          <w:color w:val="1F2937"/>
          <w:sz w:val="22"/>
          <w:szCs w:val="22"/>
        </w:rPr>
        <w:t xml:space="preserve">Maintenance of reserves at required levels</w:t>
      </w:r>
    </w:p>
    <w:p>
      <w:pPr>
        <w:spacing w:after="80" w:before="180"/>
      </w:pPr>
      <w:r>
        <w:rPr>
          <w:b/>
          <w:bCs/>
          <w:i/>
          <w:iCs/>
          <w:color w:val="374151"/>
          <w:sz w:val="22"/>
          <w:szCs w:val="22"/>
        </w:rPr>
        <w:t xml:space="preserve">Negative Covenants</w:t>
      </w:r>
    </w:p>
    <w:p>
      <w:pPr>
        <w:pStyle w:val="ListParagraph"/>
        <w:numPr>
          <w:ilvl w:val="0"/>
          <w:numId w:val="2"/>
        </w:numPr>
        <w:spacing w:after="80" w:line="300"/>
      </w:pPr>
      <w:r>
        <w:rPr>
          <w:color w:val="1F2937"/>
          <w:sz w:val="22"/>
          <w:szCs w:val="22"/>
        </w:rPr>
        <w:t xml:space="preserve">Additional indebtedness limited to defined permitted baskets</w:t>
      </w:r>
    </w:p>
    <w:p>
      <w:pPr>
        <w:pStyle w:val="ListParagraph"/>
        <w:numPr>
          <w:ilvl w:val="0"/>
          <w:numId w:val="2"/>
        </w:numPr>
        <w:spacing w:after="80" w:line="300"/>
      </w:pPr>
      <w:r>
        <w:rPr>
          <w:color w:val="1F2937"/>
          <w:sz w:val="22"/>
          <w:szCs w:val="22"/>
        </w:rPr>
        <w:t xml:space="preserve">Liens limited to permitted liens (purchase money, equipment financing, etc.)</w:t>
      </w:r>
    </w:p>
    <w:p>
      <w:pPr>
        <w:pStyle w:val="ListParagraph"/>
        <w:numPr>
          <w:ilvl w:val="0"/>
          <w:numId w:val="2"/>
        </w:numPr>
        <w:spacing w:after="80" w:line="300"/>
      </w:pPr>
      <w:r>
        <w:rPr>
          <w:color w:val="1F2937"/>
          <w:sz w:val="22"/>
          <w:szCs w:val="22"/>
        </w:rPr>
        <w:t xml:space="preserve">Restricted payments limited to permitted baskets (cumulative restricted payments build-up, typically 50% of cumulative net income after a starting deficit)</w:t>
      </w:r>
    </w:p>
    <w:p>
      <w:pPr>
        <w:pStyle w:val="ListParagraph"/>
        <w:numPr>
          <w:ilvl w:val="0"/>
          <w:numId w:val="2"/>
        </w:numPr>
        <w:spacing w:after="80" w:line="300"/>
      </w:pPr>
      <w:r>
        <w:rPr>
          <w:color w:val="1F2937"/>
          <w:sz w:val="22"/>
          <w:szCs w:val="22"/>
        </w:rPr>
        <w:t xml:space="preserve">Asset sales subject to defined thresholds with mandatory reinvestment or asset sale offers</w:t>
      </w:r>
    </w:p>
    <w:p>
      <w:pPr>
        <w:pStyle w:val="ListParagraph"/>
        <w:numPr>
          <w:ilvl w:val="0"/>
          <w:numId w:val="2"/>
        </w:numPr>
        <w:spacing w:after="80" w:line="300"/>
      </w:pPr>
      <w:r>
        <w:rPr>
          <w:color w:val="1F2937"/>
          <w:sz w:val="22"/>
          <w:szCs w:val="22"/>
        </w:rPr>
        <w:t xml:space="preserve">Affiliate transactions at arm's length terms with sponsor approval requirements</w:t>
      </w:r>
    </w:p>
    <w:p>
      <w:pPr>
        <w:pStyle w:val="ListParagraph"/>
        <w:numPr>
          <w:ilvl w:val="0"/>
          <w:numId w:val="2"/>
        </w:numPr>
        <w:spacing w:after="80" w:line="300"/>
      </w:pPr>
      <w:r>
        <w:rPr>
          <w:color w:val="1F2937"/>
          <w:sz w:val="22"/>
          <w:szCs w:val="22"/>
        </w:rPr>
        <w:t xml:space="preserve">Permitted acquisitions subject to coverage tests and equity contribution requirements</w:t>
      </w:r>
    </w:p>
    <w:p>
      <w:pPr>
        <w:pStyle w:val="ListParagraph"/>
        <w:numPr>
          <w:ilvl w:val="0"/>
          <w:numId w:val="2"/>
        </w:numPr>
        <w:spacing w:after="80" w:line="300"/>
      </w:pPr>
      <w:r>
        <w:rPr>
          <w:color w:val="1F2937"/>
          <w:sz w:val="22"/>
          <w:szCs w:val="22"/>
        </w:rPr>
        <w:t xml:space="preserve">Restrictions on subsidiary distributions to parent</w:t>
      </w:r>
    </w:p>
    <w:p>
      <w:pPr>
        <w:pStyle w:val="ListParagraph"/>
        <w:numPr>
          <w:ilvl w:val="0"/>
          <w:numId w:val="2"/>
        </w:numPr>
        <w:spacing w:after="80" w:line="300"/>
      </w:pPr>
      <w:r>
        <w:rPr>
          <w:color w:val="1F2937"/>
          <w:sz w:val="22"/>
          <w:szCs w:val="22"/>
        </w:rPr>
        <w:t xml:space="preserve">Change of control put right at 101</w:t>
      </w:r>
    </w:p>
    <w:p>
      <w:pPr>
        <w:spacing w:after="80" w:before="180"/>
      </w:pPr>
      <w:r>
        <w:rPr>
          <w:b/>
          <w:bCs/>
          <w:i/>
          <w:iCs/>
          <w:color w:val="374151"/>
          <w:sz w:val="22"/>
          <w:szCs w:val="22"/>
        </w:rPr>
        <w:t xml:space="preserve">Cure Provisions</w:t>
      </w:r>
    </w:p>
    <w:p>
      <w:pPr>
        <w:pStyle w:val="ListParagraph"/>
        <w:numPr>
          <w:ilvl w:val="0"/>
          <w:numId w:val="2"/>
        </w:numPr>
        <w:spacing w:after="80" w:line="300"/>
      </w:pPr>
      <w:r>
        <w:rPr>
          <w:color w:val="1F2937"/>
          <w:sz w:val="22"/>
          <w:szCs w:val="22"/>
        </w:rPr>
        <w:t xml:space="preserve">Standard cure period for covenant breaches (30-90 days depending on covenant)</w:t>
      </w:r>
    </w:p>
    <w:p>
      <w:pPr>
        <w:pStyle w:val="ListParagraph"/>
        <w:numPr>
          <w:ilvl w:val="0"/>
          <w:numId w:val="2"/>
        </w:numPr>
        <w:spacing w:after="80" w:line="300"/>
      </w:pPr>
      <w:r>
        <w:rPr>
          <w:color w:val="1F2937"/>
          <w:sz w:val="22"/>
          <w:szCs w:val="22"/>
        </w:rPr>
        <w:t xml:space="preserve">Equity cure for financial covenants (sponsor may contribute additional equity to cure covenant breach, typically 2-3 times per bond life, capped at defined amounts)</w:t>
      </w:r>
    </w:p>
    <w:p>
      <w:pPr>
        <w:pStyle w:val="ListParagraph"/>
        <w:numPr>
          <w:ilvl w:val="0"/>
          <w:numId w:val="2"/>
        </w:numPr>
        <w:spacing w:after="80" w:line="300"/>
      </w:pPr>
      <w:r>
        <w:rPr>
          <w:color w:val="1F2937"/>
          <w:sz w:val="22"/>
          <w:szCs w:val="22"/>
        </w:rPr>
        <w:t xml:space="preserve">Forbearance with bondholder consent for material covenant issues</w:t>
      </w:r>
    </w:p>
    <w:p>
      <w:pPr>
        <w:pStyle w:val="Heading3"/>
        <w:spacing w:after="120" w:before="240"/>
      </w:pPr>
      <w:r>
        <w:rPr>
          <w:b/>
          <w:bCs/>
          <w:color w:val="374151"/>
          <w:sz w:val="24"/>
          <w:szCs w:val="24"/>
        </w:rPr>
        <w:t xml:space="preserve">7.4 Optionality and Call Structure</w:t>
      </w:r>
    </w:p>
    <w:p>
      <w:pPr>
        <w:spacing w:after="140" w:line="320"/>
        <w:jc w:val="both"/>
      </w:pPr>
      <w:r>
        <w:rPr>
          <w:color w:val="1F2937"/>
          <w:sz w:val="22"/>
          <w:szCs w:val="22"/>
        </w:rPr>
        <w:t xml:space="preserve">M&amp;A acquisition bond call structure is calibrated to the sponsor's expected hold pattern. Standard structure:</w:t>
      </w:r>
    </w:p>
    <w:p>
      <w:pPr>
        <w:pStyle w:val="ListParagraph"/>
        <w:numPr>
          <w:ilvl w:val="0"/>
          <w:numId w:val="2"/>
        </w:numPr>
        <w:spacing w:after="80" w:line="300"/>
      </w:pPr>
      <w:r>
        <w:rPr>
          <w:color w:val="1F2937"/>
          <w:sz w:val="22"/>
          <w:szCs w:val="22"/>
        </w:rPr>
        <w:t xml:space="preserve">Non-call period: 2-3 years from issuance (provides bondholders with defined duration during the integration and early stabilization period)</w:t>
      </w:r>
    </w:p>
    <w:p>
      <w:pPr>
        <w:pStyle w:val="ListParagraph"/>
        <w:numPr>
          <w:ilvl w:val="0"/>
          <w:numId w:val="2"/>
        </w:numPr>
        <w:spacing w:after="80" w:line="300"/>
      </w:pPr>
      <w:r>
        <w:rPr>
          <w:color w:val="1F2937"/>
          <w:sz w:val="22"/>
          <w:szCs w:val="22"/>
        </w:rPr>
        <w:t xml:space="preserve">Call schedule: callable at 102 starting year 3, declining to 101 in year 4, par at year 5 and after</w:t>
      </w:r>
    </w:p>
    <w:p>
      <w:pPr>
        <w:pStyle w:val="ListParagraph"/>
        <w:numPr>
          <w:ilvl w:val="0"/>
          <w:numId w:val="2"/>
        </w:numPr>
        <w:spacing w:after="80" w:line="300"/>
      </w:pPr>
      <w:r>
        <w:rPr>
          <w:color w:val="1F2937"/>
          <w:sz w:val="22"/>
          <w:szCs w:val="22"/>
        </w:rPr>
        <w:t xml:space="preserve">Equity claw: permitted for up to 35% of bonds during non-call period at par plus accrued, funded from sponsor equity contribution or IPO proceeds</w:t>
      </w:r>
    </w:p>
    <w:p>
      <w:pPr>
        <w:pStyle w:val="ListParagraph"/>
        <w:numPr>
          <w:ilvl w:val="0"/>
          <w:numId w:val="2"/>
        </w:numPr>
        <w:spacing w:after="80" w:line="300"/>
      </w:pPr>
      <w:r>
        <w:rPr>
          <w:color w:val="1F2937"/>
          <w:sz w:val="22"/>
          <w:szCs w:val="22"/>
        </w:rPr>
        <w:t xml:space="preserve">Change of control put: bondholders may put bonds at 101 upon change of control (other than to permitted holders)</w:t>
      </w:r>
    </w:p>
    <w:p>
      <w:pPr>
        <w:pStyle w:val="ListParagraph"/>
        <w:numPr>
          <w:ilvl w:val="0"/>
          <w:numId w:val="2"/>
        </w:numPr>
        <w:spacing w:after="80" w:line="300"/>
      </w:pPr>
      <w:r>
        <w:rPr>
          <w:color w:val="1F2937"/>
          <w:sz w:val="22"/>
          <w:szCs w:val="22"/>
        </w:rPr>
        <w:t xml:space="preserve">Tax change call: optional redemption at par if changes in tax law materially affect the bond's tax treatment</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6A. The Specific Bond Type</w:t>
      </w:r>
    </w:p>
    <w:p>
      <w:pPr>
        <w:spacing w:after="140" w:line="320"/>
        <w:jc w:val="both"/>
      </w:pPr>
      <w:r>
        <w:rPr>
          <w:color w:val="1F2937"/>
          <w:sz w:val="22"/>
          <w:szCs w:val="22"/>
        </w:rPr>
        <w:t xml:space="preserve">This section names the specific bond type Nest issues for M&amp;A acquisition bond use cases. The structuring profile in Section 6 above identified six structural variants; this section specifies the actual bond — its category, security, registration pathway, denomination, and clearing mechanics — at the level a banker reads it and executes against it.</w:t>
      </w:r>
    </w:p>
    <w:p>
      <w:pPr>
        <w:pStyle w:val="Heading3"/>
        <w:spacing w:after="120" w:before="240"/>
      </w:pPr>
      <w:r>
        <w:rPr>
          <w:b/>
          <w:bCs/>
          <w:color w:val="374151"/>
          <w:sz w:val="24"/>
          <w:szCs w:val="24"/>
        </w:rPr>
        <w:t xml:space="preserve">6A.1 — Bond Category</w:t>
      </w:r>
    </w:p>
    <w:p>
      <w:pPr>
        <w:spacing w:after="100" w:line="300"/>
        <w:ind w:left="200"/>
        <w:jc w:val="both"/>
      </w:pPr>
      <w:r>
        <w:rPr>
          <w:b/>
          <w:bCs/>
          <w:color w:val="B8860B"/>
          <w:sz w:val="22"/>
          <w:szCs w:val="22"/>
        </w:rPr>
        <w:t xml:space="preserve">Issuer Type — </w:t>
      </w:r>
      <w:r>
        <w:rPr>
          <w:color w:val="1F2937"/>
          <w:sz w:val="22"/>
          <w:szCs w:val="22"/>
        </w:rPr>
        <w:t xml:space="preserve">Conduit issuance through a state or local industrial development authority (IDA), economic development corporation, or similar conduit issuer for the taxable bond issuance. Conduit issuance is used even for taxable bonds because the conduit structure provides standardized documentation, established trustee relationships, and clean transferability mechanics. The conduit is a legal pass-through; the acquirer is the actual obligor through the loan agreement with the conduit.</w:t>
      </w:r>
    </w:p>
    <w:p>
      <w:pPr>
        <w:spacing w:after="100" w:line="300"/>
        <w:ind w:left="200"/>
        <w:jc w:val="both"/>
      </w:pPr>
      <w:r>
        <w:rPr>
          <w:b/>
          <w:bCs/>
          <w:color w:val="B8860B"/>
          <w:sz w:val="22"/>
          <w:szCs w:val="22"/>
        </w:rPr>
        <w:t xml:space="preserve">Obligor — </w:t>
      </w:r>
      <w:r>
        <w:rPr>
          <w:color w:val="1F2937"/>
          <w:sz w:val="22"/>
          <w:szCs w:val="22"/>
        </w:rPr>
        <w:t xml:space="preserve">The acquirer entity (typically a special purpose acquisition vehicle established by the sponsor) that owns the target post-close. The obligor is bound by the loan agreement with the conduit; the conduit's obligations to bondholders under the indenture flow back to the obligor's obligations under the loan agreement.</w:t>
      </w:r>
    </w:p>
    <w:p>
      <w:pPr>
        <w:spacing w:after="100" w:line="300"/>
        <w:ind w:left="200"/>
        <w:jc w:val="both"/>
      </w:pPr>
      <w:r>
        <w:rPr>
          <w:b/>
          <w:bCs/>
          <w:color w:val="B8860B"/>
          <w:sz w:val="22"/>
          <w:szCs w:val="22"/>
        </w:rPr>
        <w:t xml:space="preserve">Bond Form — </w:t>
      </w:r>
      <w:r>
        <w:rPr>
          <w:color w:val="1F2937"/>
          <w:sz w:val="22"/>
          <w:szCs w:val="22"/>
        </w:rPr>
        <w:t xml:space="preserve">Senior secured taxable revenue bonds issued under a trust indenture. The bonds are not tax-exempt unless the specific target qualifies for 501(c)(3) or PAB treatment (Section 6.4 above). For the standard M&amp;A acquisition bond, the bond is taxable.</w:t>
      </w:r>
    </w:p>
    <w:p>
      <w:pPr>
        <w:spacing w:after="100" w:line="300"/>
        <w:ind w:left="200"/>
        <w:jc w:val="both"/>
      </w:pPr>
      <w:r>
        <w:rPr>
          <w:b/>
          <w:bCs/>
          <w:color w:val="B8860B"/>
          <w:sz w:val="22"/>
          <w:szCs w:val="22"/>
        </w:rPr>
        <w:t xml:space="preserve">Bond Series Designation — </w:t>
      </w:r>
      <w:r>
        <w:rPr>
          <w:color w:val="1F2937"/>
          <w:sz w:val="22"/>
          <w:szCs w:val="22"/>
        </w:rPr>
        <w:t xml:space="preserve">Each M&amp;A acquisition bond is issued as a series. The series naming convention follows the conduit's standard format. Typical series designation: 'Series 2026A Senior Secured Acquisition Bonds (Obligor Name).' If multiple tranches are issued, each tranche is a separate series — Series 2026A senior, Series 2026B subordinate, etc.</w:t>
      </w:r>
    </w:p>
    <w:p>
      <w:pPr>
        <w:spacing w:after="100" w:line="300"/>
        <w:ind w:left="200"/>
        <w:jc w:val="both"/>
      </w:pPr>
      <w:r>
        <w:rPr>
          <w:b/>
          <w:bCs/>
          <w:color w:val="B8860B"/>
          <w:sz w:val="22"/>
          <w:szCs w:val="22"/>
        </w:rPr>
        <w:t xml:space="preserve">Denomination — </w:t>
      </w:r>
      <w:r>
        <w:rPr>
          <w:color w:val="1F2937"/>
          <w:sz w:val="22"/>
          <w:szCs w:val="22"/>
        </w:rPr>
        <w:t xml:space="preserve">$100,000 minimum denomination with $5,000 increments above the minimum. The high-denomination format is consistent with the institutional buyer profile (QIBs and accredited investors) and excludes retail buyer participation. The $100,000 minimum is the standard QIB-only convention; deals targeting larger institutional buyers exclusively may use $250,000 minimum.</w:t>
      </w:r>
    </w:p>
    <w:p>
      <w:pPr>
        <w:spacing w:after="100" w:line="300"/>
        <w:ind w:left="200"/>
        <w:jc w:val="both"/>
      </w:pPr>
      <w:r>
        <w:rPr>
          <w:b/>
          <w:bCs/>
          <w:color w:val="B8860B"/>
          <w:sz w:val="22"/>
          <w:szCs w:val="22"/>
        </w:rPr>
        <w:t xml:space="preserve">Currency — </w:t>
      </w:r>
      <w:r>
        <w:rPr>
          <w:color w:val="1F2937"/>
          <w:sz w:val="22"/>
          <w:szCs w:val="22"/>
        </w:rPr>
        <w:t xml:space="preserve">U.S. dollars exclusively. No foreign currency component.</w:t>
      </w:r>
    </w:p>
    <w:p>
      <w:pPr>
        <w:pStyle w:val="Heading3"/>
        <w:spacing w:after="120" w:before="240"/>
      </w:pPr>
      <w:r>
        <w:rPr>
          <w:b/>
          <w:bCs/>
          <w:color w:val="374151"/>
          <w:sz w:val="24"/>
          <w:szCs w:val="24"/>
        </w:rPr>
        <w:t xml:space="preserve">6A.2 — Security</w:t>
      </w:r>
    </w:p>
    <w:p>
      <w:pPr>
        <w:spacing w:after="100" w:line="300"/>
        <w:ind w:left="200"/>
        <w:jc w:val="both"/>
      </w:pPr>
      <w:r>
        <w:rPr>
          <w:b/>
          <w:bCs/>
          <w:color w:val="B8860B"/>
          <w:sz w:val="22"/>
          <w:szCs w:val="22"/>
        </w:rPr>
        <w:t xml:space="preserve">First Lien Position — </w:t>
      </w:r>
      <w:r>
        <w:rPr>
          <w:color w:val="1F2937"/>
          <w:sz w:val="22"/>
          <w:szCs w:val="22"/>
        </w:rPr>
        <w:t xml:space="preserve">First lien on substantially all assets of the obligor and its subsidiaries, including: (a) all tangible personal property (equipment, inventory, fixtures); (b) all intangible personal property (accounts receivable, contracts, intellectual property, general intangibles); (c) all real property owned by the obligor (with mortgages or deeds of trust filed at close in applicable jurisdictions); (d) all deposit accounts and securities accounts (subject to control agreements at close); (e) all equity interests in subsidiaries of the obligor.</w:t>
      </w:r>
    </w:p>
    <w:p>
      <w:pPr>
        <w:spacing w:after="100" w:line="300"/>
        <w:ind w:left="200"/>
        <w:jc w:val="both"/>
      </w:pPr>
      <w:r>
        <w:rPr>
          <w:b/>
          <w:bCs/>
          <w:color w:val="B8860B"/>
          <w:sz w:val="22"/>
          <w:szCs w:val="22"/>
        </w:rPr>
        <w:t xml:space="preserve">Equity Pledge — </w:t>
      </w:r>
      <w:r>
        <w:rPr>
          <w:color w:val="1F2937"/>
          <w:sz w:val="22"/>
          <w:szCs w:val="22"/>
        </w:rPr>
        <w:t xml:space="preserve">First-priority pledge of 100% of the equity interests of the obligor itself, held by the sponsor's holding entity. The equity pledge gives bondholders the ultimate ownership remedy if the obligor defaults — bondholders (through the trustee) can foreclose on the equity and assume operational control.</w:t>
      </w:r>
    </w:p>
    <w:p>
      <w:pPr>
        <w:spacing w:after="100" w:line="300"/>
        <w:ind w:left="200"/>
        <w:jc w:val="both"/>
      </w:pPr>
      <w:r>
        <w:rPr>
          <w:b/>
          <w:bCs/>
          <w:color w:val="B8860B"/>
          <w:sz w:val="22"/>
          <w:szCs w:val="22"/>
        </w:rPr>
        <w:t xml:space="preserve">Permitted Liens — </w:t>
      </w:r>
      <w:r>
        <w:rPr>
          <w:color w:val="1F2937"/>
          <w:sz w:val="22"/>
          <w:szCs w:val="22"/>
        </w:rPr>
        <w:t xml:space="preserve">The indenture permits limited categories of liens senior to or pari passu with the bond's first lien: (a) tax liens for taxes not yet due or being contested in good faith; (b) mechanics' and materialmen's liens for amounts not yet due; (c) liens securing capitalized lease obligations and equipment financing in defined permitted baskets; (d) customary banking liens on operating accounts (subject to control agreements); (e) liens securing the working capital facility (if any), subject to the intercreditor agreement defining priorities between the bond and the working capital facility.</w:t>
      </w:r>
    </w:p>
    <w:p>
      <w:pPr>
        <w:spacing w:after="100" w:line="300"/>
        <w:ind w:left="200"/>
        <w:jc w:val="both"/>
      </w:pPr>
      <w:r>
        <w:rPr>
          <w:b/>
          <w:bCs/>
          <w:color w:val="B8860B"/>
          <w:sz w:val="22"/>
          <w:szCs w:val="22"/>
        </w:rPr>
        <w:t xml:space="preserve">UCC Filings — </w:t>
      </w:r>
      <w:r>
        <w:rPr>
          <w:color w:val="1F2937"/>
          <w:sz w:val="22"/>
          <w:szCs w:val="22"/>
        </w:rPr>
        <w:t xml:space="preserve">UCC-1 financing statements filed at close in every jurisdiction where the obligor or its subsidiaries are organized or where personal property collateral is located. UCC continuation statements filed before expiration throughout the bond's life. Specific UCC filings against deposit accounts and securities accounts where control agreements are not feasible.</w:t>
      </w:r>
    </w:p>
    <w:p>
      <w:pPr>
        <w:spacing w:after="100" w:line="300"/>
        <w:ind w:left="200"/>
        <w:jc w:val="both"/>
      </w:pPr>
      <w:r>
        <w:rPr>
          <w:b/>
          <w:bCs/>
          <w:color w:val="B8860B"/>
          <w:sz w:val="22"/>
          <w:szCs w:val="22"/>
        </w:rPr>
        <w:t xml:space="preserve">Mortgages and Deeds of Trust — </w:t>
      </w:r>
      <w:r>
        <w:rPr>
          <w:color w:val="1F2937"/>
          <w:sz w:val="22"/>
          <w:szCs w:val="22"/>
        </w:rPr>
        <w:t xml:space="preserve">Mortgages (in lien-theory states) or deeds of trust (in title-theory states) filed in the local recording office for every parcel of real property owned by the obligor or its subsidiaries. Mortgages and deeds of trust must be in recordable form with appropriate authority certifications.</w:t>
      </w:r>
    </w:p>
    <w:p>
      <w:pPr>
        <w:spacing w:after="100" w:line="300"/>
        <w:ind w:left="200"/>
        <w:jc w:val="both"/>
      </w:pPr>
      <w:r>
        <w:rPr>
          <w:b/>
          <w:bCs/>
          <w:color w:val="B8860B"/>
          <w:sz w:val="22"/>
          <w:szCs w:val="22"/>
        </w:rPr>
        <w:t xml:space="preserve">Control Agreements — </w:t>
      </w:r>
      <w:r>
        <w:rPr>
          <w:color w:val="1F2937"/>
          <w:sz w:val="22"/>
          <w:szCs w:val="22"/>
        </w:rPr>
        <w:t xml:space="preserve">Deposit Account Control Agreements (DACA) executed with each bank holding the obligor's operating accounts. Securities Account Control Agreements executed with each broker holding the obligor's securities. Control agreements permit the trustee to take control of the accounts upon defined trigger events.</w:t>
      </w:r>
    </w:p>
    <w:p>
      <w:pPr>
        <w:spacing w:after="100" w:line="300"/>
        <w:ind w:left="200"/>
        <w:jc w:val="both"/>
      </w:pPr>
      <w:r>
        <w:rPr>
          <w:b/>
          <w:bCs/>
          <w:color w:val="B8860B"/>
          <w:sz w:val="22"/>
          <w:szCs w:val="22"/>
        </w:rPr>
        <w:t xml:space="preserve">Intellectual Property Filings — </w:t>
      </w:r>
      <w:r>
        <w:rPr>
          <w:color w:val="1F2937"/>
          <w:sz w:val="22"/>
          <w:szCs w:val="22"/>
        </w:rPr>
        <w:t xml:space="preserve">Specific IP collateral filings at the USPTO (for patents and trademarks) and at the U.S. Copyright Office (for copyrights). IP collateral filings are made at close for material IP holdings.</w:t>
      </w:r>
    </w:p>
    <w:p>
      <w:pPr>
        <w:pStyle w:val="Heading3"/>
        <w:spacing w:after="120" w:before="240"/>
      </w:pPr>
      <w:r>
        <w:rPr>
          <w:b/>
          <w:bCs/>
          <w:color w:val="374151"/>
          <w:sz w:val="24"/>
          <w:szCs w:val="24"/>
        </w:rPr>
        <w:t xml:space="preserve">6A.3 — Registration Pathway</w:t>
      </w:r>
    </w:p>
    <w:p>
      <w:pPr>
        <w:spacing w:after="100" w:line="300"/>
        <w:ind w:left="200"/>
        <w:jc w:val="both"/>
      </w:pPr>
      <w:r>
        <w:rPr>
          <w:b/>
          <w:bCs/>
          <w:color w:val="B8860B"/>
          <w:sz w:val="22"/>
          <w:szCs w:val="22"/>
        </w:rPr>
        <w:t xml:space="preserve">Primary Pathway — </w:t>
      </w:r>
      <w:r>
        <w:rPr>
          <w:color w:val="1F2937"/>
          <w:sz w:val="22"/>
          <w:szCs w:val="22"/>
        </w:rPr>
        <w:t xml:space="preserve">Rule 144A private placement to Qualified Institutional Buyers. The Rule 144A safe harbor permits the bonds to be sold to QIBs without full SEC registration. The Bond Purchase Agreement contains the 144A representations and the offering memorandum contains the standard 144A legend.</w:t>
      </w:r>
    </w:p>
    <w:p>
      <w:pPr>
        <w:spacing w:after="100" w:line="300"/>
        <w:ind w:left="200"/>
        <w:jc w:val="both"/>
      </w:pPr>
      <w:r>
        <w:rPr>
          <w:b/>
          <w:bCs/>
          <w:color w:val="B8860B"/>
          <w:sz w:val="22"/>
          <w:szCs w:val="22"/>
        </w:rPr>
        <w:t xml:space="preserve">Secondary Pathway (Optional) — </w:t>
      </w:r>
      <w:r>
        <w:rPr>
          <w:color w:val="1F2937"/>
          <w:sz w:val="22"/>
          <w:szCs w:val="22"/>
        </w:rPr>
        <w:t xml:space="preserve">Concurrent Regulation S offering for non-U.S. institutional buyers. The Reg S offering is documented as a separate tranche with appropriate selling restrictions. Reg S participation is included when the BD partner's distribution network includes meaningful offshore buyer capability.</w:t>
      </w:r>
    </w:p>
    <w:p>
      <w:pPr>
        <w:spacing w:after="100" w:line="300"/>
        <w:ind w:left="200"/>
        <w:jc w:val="both"/>
      </w:pPr>
      <w:r>
        <w:rPr>
          <w:b/>
          <w:bCs/>
          <w:color w:val="B8860B"/>
          <w:sz w:val="22"/>
          <w:szCs w:val="22"/>
        </w:rPr>
        <w:t xml:space="preserve">Resale Restrictions — </w:t>
      </w:r>
      <w:r>
        <w:rPr>
          <w:color w:val="1F2937"/>
          <w:sz w:val="22"/>
          <w:szCs w:val="22"/>
        </w:rPr>
        <w:t xml:space="preserve">Resale of the 144A bonds is limited to QIBs under Rule 144A and to persons outside the United States under Reg S. Bonds carry the standard 144A and Reg S legends. After the initial holding period (typically one year), resales may also occur under Rule 144 to accredited investors with broader restrictions, but this pathway is rarely used in practice.</w:t>
      </w:r>
    </w:p>
    <w:p>
      <w:pPr>
        <w:spacing w:after="100" w:line="300"/>
        <w:ind w:left="200"/>
        <w:jc w:val="both"/>
      </w:pPr>
      <w:r>
        <w:rPr>
          <w:b/>
          <w:bCs/>
          <w:color w:val="B8860B"/>
          <w:sz w:val="22"/>
          <w:szCs w:val="22"/>
        </w:rPr>
        <w:t xml:space="preserve">DTC Eligibility — </w:t>
      </w:r>
      <w:r>
        <w:rPr>
          <w:color w:val="1F2937"/>
          <w:sz w:val="22"/>
          <w:szCs w:val="22"/>
        </w:rPr>
        <w:t xml:space="preserve">Bonds are eligible for clearing through The Depository Trust Company (DTC). All bonds are held in book-entry form at DTC, with Cede &amp; Co. as the registered owner on the bond face. Beneficial owners hold positions through their DTC participant banks and brokerages. Eligibility for DTC clearing requires CUSIP assignment and standard DTC eligibility documentation completed at close.</w:t>
      </w:r>
    </w:p>
    <w:p>
      <w:pPr>
        <w:spacing w:after="100" w:line="300"/>
        <w:ind w:left="200"/>
        <w:jc w:val="both"/>
      </w:pPr>
      <w:r>
        <w:rPr>
          <w:b/>
          <w:bCs/>
          <w:color w:val="B8860B"/>
          <w:sz w:val="22"/>
          <w:szCs w:val="22"/>
        </w:rPr>
        <w:t xml:space="preserve">CUSIP Assignment — </w:t>
      </w:r>
      <w:r>
        <w:rPr>
          <w:color w:val="1F2937"/>
          <w:sz w:val="22"/>
          <w:szCs w:val="22"/>
        </w:rPr>
        <w:t xml:space="preserve">Each tranche of the bond receives its own CUSIP from the CUSIP Service Bureau. Each maturity date within a single tranche (if the tranche has multiple maturity dates) also receives its own CUSIP. For a single-tranche, single-maturity acquisition bond, one CUSIP is assigned at close.</w:t>
      </w:r>
    </w:p>
    <w:p>
      <w:pPr>
        <w:spacing w:after="100" w:line="300"/>
        <w:ind w:left="200"/>
        <w:jc w:val="both"/>
      </w:pPr>
      <w:r>
        <w:rPr>
          <w:b/>
          <w:bCs/>
          <w:color w:val="B8860B"/>
          <w:sz w:val="22"/>
          <w:szCs w:val="22"/>
        </w:rPr>
        <w:t xml:space="preserve">Registration on Conduit's Records — </w:t>
      </w:r>
      <w:r>
        <w:rPr>
          <w:color w:val="1F2937"/>
          <w:sz w:val="22"/>
          <w:szCs w:val="22"/>
        </w:rPr>
        <w:t xml:space="preserve">The bond is registered on the conduit issuer's bond register, maintained by the trustee as registrar. The registered owner is Cede &amp; Co. (DTC's nominee). Transfers between beneficial owners occur within DTC; the registrar's records show only the DTC nominee as owner.</w:t>
      </w:r>
    </w:p>
    <w:p>
      <w:pPr>
        <w:spacing w:after="100" w:line="300"/>
        <w:ind w:left="200"/>
        <w:jc w:val="both"/>
      </w:pPr>
      <w:r>
        <w:rPr>
          <w:b/>
          <w:bCs/>
          <w:color w:val="B8860B"/>
          <w:sz w:val="22"/>
          <w:szCs w:val="22"/>
        </w:rPr>
        <w:t xml:space="preserve">EMMA Filing (if any) — </w:t>
      </w:r>
      <w:r>
        <w:rPr>
          <w:color w:val="1F2937"/>
          <w:sz w:val="22"/>
          <w:szCs w:val="22"/>
        </w:rPr>
        <w:t xml:space="preserve">Taxable conduit bonds may be subject to MSRB Rule 15c2-12 continuing disclosure depending on the specific conduit and structure. For most taxable acquisition bonds, MSRB continuing disclosure is voluntary rather than required, but Nest's default position is to file continuing disclosure on EMMA to maintain market transparency and to provide bondholder information at standard intervals.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7A. The Specific Amortization Schedule</w:t>
      </w:r>
    </w:p>
    <w:p>
      <w:pPr>
        <w:spacing w:after="140" w:line="320"/>
        <w:jc w:val="both"/>
      </w:pPr>
      <w:r>
        <w:rPr>
          <w:color w:val="1F2937"/>
          <w:sz w:val="22"/>
          <w:szCs w:val="22"/>
        </w:rPr>
        <w:t xml:space="preserve">This section sets the actual amortization schedule for the worked example deal from Section 5.3 — the $14M senior secured acquisition bond for the specialty industrial services platform. The schedule is calibrated to the four-phase pattern described in Section 7.1, with specific principal payments year by year. Bonds for different worked examples follow the same four-phase pattern with year-by-year payments calibrated to the specific deal size and integration timeline.</w:t>
      </w:r>
    </w:p>
    <w:p>
      <w:pPr>
        <w:pStyle w:val="Heading3"/>
        <w:spacing w:after="120" w:before="240"/>
      </w:pPr>
      <w:r>
        <w:rPr>
          <w:b/>
          <w:bCs/>
          <w:color w:val="374151"/>
          <w:sz w:val="24"/>
          <w:szCs w:val="24"/>
        </w:rPr>
        <w:t xml:space="preserve">7A.1 — Year-by-Year Principal Amortization (Worked Example)</w:t>
      </w:r>
    </w:p>
    <w:p>
      <w:pPr>
        <w:spacing w:after="140" w:line="320"/>
        <w:jc w:val="both"/>
      </w:pPr>
      <w:r>
        <w:rPr>
          <w:color w:val="1F2937"/>
          <w:sz w:val="22"/>
          <w:szCs w:val="22"/>
        </w:rPr>
        <w:t xml:space="preserve">Bond: $14,000,000 senior secured taxable acquisition bond, Series 2026A, dated 1 March 2026 (close date), maturity 1 March 2033 (7-year tenor).</w:t>
      </w:r>
    </w:p>
    <w:p>
      <w:pPr>
        <w:spacing w:after="80" w:before="180"/>
      </w:pPr>
      <w:r>
        <w:rPr>
          <w:b/>
          <w:bCs/>
          <w:i/>
          <w:iCs/>
          <w:color w:val="374151"/>
          <w:sz w:val="22"/>
          <w:szCs w:val="22"/>
        </w:rPr>
        <w:t xml:space="preserve">Year 1 (March 2026 — March 2027) — Integration Period</w:t>
      </w:r>
    </w:p>
    <w:p>
      <w:pPr>
        <w:pStyle w:val="ListParagraph"/>
        <w:numPr>
          <w:ilvl w:val="0"/>
          <w:numId w:val="2"/>
        </w:numPr>
        <w:spacing w:after="80" w:line="300"/>
      </w:pPr>
      <w:r>
        <w:rPr>
          <w:color w:val="1F2937"/>
          <w:sz w:val="22"/>
          <w:szCs w:val="22"/>
        </w:rPr>
        <w:t xml:space="preserve">Principal amortization: $0</w:t>
      </w:r>
    </w:p>
    <w:p>
      <w:pPr>
        <w:pStyle w:val="ListParagraph"/>
        <w:numPr>
          <w:ilvl w:val="0"/>
          <w:numId w:val="2"/>
        </w:numPr>
        <w:spacing w:after="80" w:line="300"/>
      </w:pPr>
      <w:r>
        <w:rPr>
          <w:color w:val="1F2937"/>
          <w:sz w:val="22"/>
          <w:szCs w:val="22"/>
        </w:rPr>
        <w:t xml:space="preserve">Interest payment frequency: semi-annual (1 September and 1 March)</w:t>
      </w:r>
    </w:p>
    <w:p>
      <w:pPr>
        <w:pStyle w:val="ListParagraph"/>
        <w:numPr>
          <w:ilvl w:val="0"/>
          <w:numId w:val="2"/>
        </w:numPr>
        <w:spacing w:after="80" w:line="300"/>
      </w:pPr>
      <w:r>
        <w:rPr>
          <w:color w:val="1F2937"/>
          <w:sz w:val="22"/>
          <w:szCs w:val="22"/>
        </w:rPr>
        <w:t xml:space="preserve">Interest covered: Capitalized Interest Reserve of $800,000 funded at close covers months 1-7 of interest; obligor cash flow covers months 8-12 (estimated $560,000)</w:t>
      </w:r>
    </w:p>
    <w:p>
      <w:pPr>
        <w:pStyle w:val="ListParagraph"/>
        <w:numPr>
          <w:ilvl w:val="0"/>
          <w:numId w:val="2"/>
        </w:numPr>
        <w:spacing w:after="80" w:line="300"/>
      </w:pPr>
      <w:r>
        <w:rPr>
          <w:color w:val="1F2937"/>
          <w:sz w:val="22"/>
          <w:szCs w:val="22"/>
        </w:rPr>
        <w:t xml:space="preserve">Outstanding principal at year-end: $14,000,000</w:t>
      </w:r>
    </w:p>
    <w:p>
      <w:pPr>
        <w:spacing w:after="80" w:before="180"/>
      </w:pPr>
      <w:r>
        <w:rPr>
          <w:b/>
          <w:bCs/>
          <w:i/>
          <w:iCs/>
          <w:color w:val="374151"/>
          <w:sz w:val="22"/>
          <w:szCs w:val="22"/>
        </w:rPr>
        <w:t xml:space="preserve">Year 2 (March 2027 — March 2028) — Late Integration / Early Stabilization</w:t>
      </w:r>
    </w:p>
    <w:p>
      <w:pPr>
        <w:pStyle w:val="ListParagraph"/>
        <w:numPr>
          <w:ilvl w:val="0"/>
          <w:numId w:val="2"/>
        </w:numPr>
        <w:spacing w:after="80" w:line="300"/>
      </w:pPr>
      <w:r>
        <w:rPr>
          <w:color w:val="1F2937"/>
          <w:sz w:val="22"/>
          <w:szCs w:val="22"/>
        </w:rPr>
        <w:t xml:space="preserve">Principal amortization: $140,000 (1.0% of original principal)</w:t>
      </w:r>
    </w:p>
    <w:p>
      <w:pPr>
        <w:pStyle w:val="ListParagraph"/>
        <w:numPr>
          <w:ilvl w:val="0"/>
          <w:numId w:val="2"/>
        </w:numPr>
        <w:spacing w:after="80" w:line="300"/>
      </w:pPr>
      <w:r>
        <w:rPr>
          <w:color w:val="1F2937"/>
          <w:sz w:val="22"/>
          <w:szCs w:val="22"/>
        </w:rPr>
        <w:t xml:space="preserve">Principal payment date: 1 March 2028</w:t>
      </w:r>
    </w:p>
    <w:p>
      <w:pPr>
        <w:pStyle w:val="ListParagraph"/>
        <w:numPr>
          <w:ilvl w:val="0"/>
          <w:numId w:val="2"/>
        </w:numPr>
        <w:spacing w:after="80" w:line="300"/>
      </w:pPr>
      <w:r>
        <w:rPr>
          <w:color w:val="1F2937"/>
          <w:sz w:val="22"/>
          <w:szCs w:val="22"/>
        </w:rPr>
        <w:t xml:space="preserve">Interest payments: semi-annual on outstanding principal</w:t>
      </w:r>
    </w:p>
    <w:p>
      <w:pPr>
        <w:pStyle w:val="ListParagraph"/>
        <w:numPr>
          <w:ilvl w:val="0"/>
          <w:numId w:val="2"/>
        </w:numPr>
        <w:spacing w:after="80" w:line="300"/>
      </w:pPr>
      <w:r>
        <w:rPr>
          <w:color w:val="1F2937"/>
          <w:sz w:val="22"/>
          <w:szCs w:val="22"/>
        </w:rPr>
        <w:t xml:space="preserve">Outstanding principal at year-end: $13,860,000</w:t>
      </w:r>
    </w:p>
    <w:p>
      <w:pPr>
        <w:spacing w:after="80" w:before="180"/>
      </w:pPr>
      <w:r>
        <w:rPr>
          <w:b/>
          <w:bCs/>
          <w:i/>
          <w:iCs/>
          <w:color w:val="374151"/>
          <w:sz w:val="22"/>
          <w:szCs w:val="22"/>
        </w:rPr>
        <w:t xml:space="preserve">Year 3 (March 2028 — March 2029) — Stabilization</w:t>
      </w:r>
    </w:p>
    <w:p>
      <w:pPr>
        <w:pStyle w:val="ListParagraph"/>
        <w:numPr>
          <w:ilvl w:val="0"/>
          <w:numId w:val="2"/>
        </w:numPr>
        <w:spacing w:after="80" w:line="300"/>
      </w:pPr>
      <w:r>
        <w:rPr>
          <w:color w:val="1F2937"/>
          <w:sz w:val="22"/>
          <w:szCs w:val="22"/>
        </w:rPr>
        <w:t xml:space="preserve">Principal amortization: $280,000 (2.0% of original principal)</w:t>
      </w:r>
    </w:p>
    <w:p>
      <w:pPr>
        <w:pStyle w:val="ListParagraph"/>
        <w:numPr>
          <w:ilvl w:val="0"/>
          <w:numId w:val="2"/>
        </w:numPr>
        <w:spacing w:after="80" w:line="300"/>
      </w:pPr>
      <w:r>
        <w:rPr>
          <w:color w:val="1F2937"/>
          <w:sz w:val="22"/>
          <w:szCs w:val="22"/>
        </w:rPr>
        <w:t xml:space="preserve">Principal payment date: 1 March 2029</w:t>
      </w:r>
    </w:p>
    <w:p>
      <w:pPr>
        <w:pStyle w:val="ListParagraph"/>
        <w:numPr>
          <w:ilvl w:val="0"/>
          <w:numId w:val="2"/>
        </w:numPr>
        <w:spacing w:after="80" w:line="300"/>
      </w:pPr>
      <w:r>
        <w:rPr>
          <w:color w:val="1F2937"/>
          <w:sz w:val="22"/>
          <w:szCs w:val="22"/>
        </w:rPr>
        <w:t xml:space="preserve">Interest payments: semi-annual on outstanding principal</w:t>
      </w:r>
    </w:p>
    <w:p>
      <w:pPr>
        <w:pStyle w:val="ListParagraph"/>
        <w:numPr>
          <w:ilvl w:val="0"/>
          <w:numId w:val="2"/>
        </w:numPr>
        <w:spacing w:after="80" w:line="300"/>
      </w:pPr>
      <w:r>
        <w:rPr>
          <w:color w:val="1F2937"/>
          <w:sz w:val="22"/>
          <w:szCs w:val="22"/>
        </w:rPr>
        <w:t xml:space="preserve">Outstanding principal at year-end: $13,580,000</w:t>
      </w:r>
    </w:p>
    <w:p>
      <w:pPr>
        <w:pStyle w:val="ListParagraph"/>
        <w:numPr>
          <w:ilvl w:val="0"/>
          <w:numId w:val="2"/>
        </w:numPr>
        <w:spacing w:after="80" w:line="300"/>
      </w:pPr>
      <w:r>
        <w:rPr>
          <w:color w:val="1F2937"/>
          <w:sz w:val="22"/>
          <w:szCs w:val="22"/>
        </w:rPr>
        <w:t xml:space="preserve">Note: covenant holiday expires; financial covenants begin testing at standard thresholds</w:t>
      </w:r>
    </w:p>
    <w:p>
      <w:pPr>
        <w:spacing w:after="80" w:before="180"/>
      </w:pPr>
      <w:r>
        <w:rPr>
          <w:b/>
          <w:bCs/>
          <w:i/>
          <w:iCs/>
          <w:color w:val="374151"/>
          <w:sz w:val="22"/>
          <w:szCs w:val="22"/>
        </w:rPr>
        <w:t xml:space="preserve">Year 4 (March 2029 — March 2030) — Stabilized Operations</w:t>
      </w:r>
    </w:p>
    <w:p>
      <w:pPr>
        <w:pStyle w:val="ListParagraph"/>
        <w:numPr>
          <w:ilvl w:val="0"/>
          <w:numId w:val="2"/>
        </w:numPr>
        <w:spacing w:after="80" w:line="300"/>
      </w:pPr>
      <w:r>
        <w:rPr>
          <w:color w:val="1F2937"/>
          <w:sz w:val="22"/>
          <w:szCs w:val="22"/>
        </w:rPr>
        <w:t xml:space="preserve">Principal amortization: $280,000 (2.0% of original principal)</w:t>
      </w:r>
    </w:p>
    <w:p>
      <w:pPr>
        <w:pStyle w:val="ListParagraph"/>
        <w:numPr>
          <w:ilvl w:val="0"/>
          <w:numId w:val="2"/>
        </w:numPr>
        <w:spacing w:after="80" w:line="300"/>
      </w:pPr>
      <w:r>
        <w:rPr>
          <w:color w:val="1F2937"/>
          <w:sz w:val="22"/>
          <w:szCs w:val="22"/>
        </w:rPr>
        <w:t xml:space="preserve">Principal payment date: 1 March 2030</w:t>
      </w:r>
    </w:p>
    <w:p>
      <w:pPr>
        <w:pStyle w:val="ListParagraph"/>
        <w:numPr>
          <w:ilvl w:val="0"/>
          <w:numId w:val="2"/>
        </w:numPr>
        <w:spacing w:after="80" w:line="300"/>
      </w:pPr>
      <w:r>
        <w:rPr>
          <w:color w:val="1F2937"/>
          <w:sz w:val="22"/>
          <w:szCs w:val="22"/>
        </w:rPr>
        <w:t xml:space="preserve">Interest payments: semi-annual on outstanding principal</w:t>
      </w:r>
    </w:p>
    <w:p>
      <w:pPr>
        <w:pStyle w:val="ListParagraph"/>
        <w:numPr>
          <w:ilvl w:val="0"/>
          <w:numId w:val="2"/>
        </w:numPr>
        <w:spacing w:after="80" w:line="300"/>
      </w:pPr>
      <w:r>
        <w:rPr>
          <w:color w:val="1F2937"/>
          <w:sz w:val="22"/>
          <w:szCs w:val="22"/>
        </w:rPr>
        <w:t xml:space="preserve">Outstanding principal at year-end: $13,300,000</w:t>
      </w:r>
    </w:p>
    <w:p>
      <w:pPr>
        <w:pStyle w:val="ListParagraph"/>
        <w:numPr>
          <w:ilvl w:val="0"/>
          <w:numId w:val="2"/>
        </w:numPr>
        <w:spacing w:after="80" w:line="300"/>
      </w:pPr>
      <w:r>
        <w:rPr>
          <w:color w:val="1F2937"/>
          <w:sz w:val="22"/>
          <w:szCs w:val="22"/>
        </w:rPr>
        <w:t xml:space="preserve">Note: call window opens; bonds callable at 102 starting 1 March 2030 (see Section 8A below)</w:t>
      </w:r>
    </w:p>
    <w:p>
      <w:pPr>
        <w:spacing w:after="80" w:before="180"/>
      </w:pPr>
      <w:r>
        <w:rPr>
          <w:b/>
          <w:bCs/>
          <w:i/>
          <w:iCs/>
          <w:color w:val="374151"/>
          <w:sz w:val="22"/>
          <w:szCs w:val="22"/>
        </w:rPr>
        <w:t xml:space="preserve">Year 5 (March 2030 — March 2031) — Pre-Exit Period</w:t>
      </w:r>
    </w:p>
    <w:p>
      <w:pPr>
        <w:pStyle w:val="ListParagraph"/>
        <w:numPr>
          <w:ilvl w:val="0"/>
          <w:numId w:val="2"/>
        </w:numPr>
        <w:spacing w:after="80" w:line="300"/>
      </w:pPr>
      <w:r>
        <w:rPr>
          <w:color w:val="1F2937"/>
          <w:sz w:val="22"/>
          <w:szCs w:val="22"/>
        </w:rPr>
        <w:t xml:space="preserve">Principal amortization: $420,000 (3.0% of original principal)</w:t>
      </w:r>
    </w:p>
    <w:p>
      <w:pPr>
        <w:pStyle w:val="ListParagraph"/>
        <w:numPr>
          <w:ilvl w:val="0"/>
          <w:numId w:val="2"/>
        </w:numPr>
        <w:spacing w:after="80" w:line="300"/>
      </w:pPr>
      <w:r>
        <w:rPr>
          <w:color w:val="1F2937"/>
          <w:sz w:val="22"/>
          <w:szCs w:val="22"/>
        </w:rPr>
        <w:t xml:space="preserve">Principal payment date: 1 March 2031</w:t>
      </w:r>
    </w:p>
    <w:p>
      <w:pPr>
        <w:pStyle w:val="ListParagraph"/>
        <w:numPr>
          <w:ilvl w:val="0"/>
          <w:numId w:val="2"/>
        </w:numPr>
        <w:spacing w:after="80" w:line="300"/>
      </w:pPr>
      <w:r>
        <w:rPr>
          <w:color w:val="1F2937"/>
          <w:sz w:val="22"/>
          <w:szCs w:val="22"/>
        </w:rPr>
        <w:t xml:space="preserve">Interest payments: semi-annual on outstanding principal</w:t>
      </w:r>
    </w:p>
    <w:p>
      <w:pPr>
        <w:pStyle w:val="ListParagraph"/>
        <w:numPr>
          <w:ilvl w:val="0"/>
          <w:numId w:val="2"/>
        </w:numPr>
        <w:spacing w:after="80" w:line="300"/>
      </w:pPr>
      <w:r>
        <w:rPr>
          <w:color w:val="1F2937"/>
          <w:sz w:val="22"/>
          <w:szCs w:val="22"/>
        </w:rPr>
        <w:t xml:space="preserve">Outstanding principal at year-end: $12,880,000</w:t>
      </w:r>
    </w:p>
    <w:p>
      <w:pPr>
        <w:pStyle w:val="ListParagraph"/>
        <w:numPr>
          <w:ilvl w:val="0"/>
          <w:numId w:val="2"/>
        </w:numPr>
        <w:spacing w:after="80" w:line="300"/>
      </w:pPr>
      <w:r>
        <w:rPr>
          <w:color w:val="1F2937"/>
          <w:sz w:val="22"/>
          <w:szCs w:val="22"/>
        </w:rPr>
        <w:t xml:space="preserve">Note: call price steps down to 101 on 1 March 2031</w:t>
      </w:r>
    </w:p>
    <w:p>
      <w:pPr>
        <w:spacing w:after="80" w:before="180"/>
      </w:pPr>
      <w:r>
        <w:rPr>
          <w:b/>
          <w:bCs/>
          <w:i/>
          <w:iCs/>
          <w:color w:val="374151"/>
          <w:sz w:val="22"/>
          <w:szCs w:val="22"/>
        </w:rPr>
        <w:t xml:space="preserve">Year 6 (March 2031 — March 2032) — Pre-Exit Period</w:t>
      </w:r>
    </w:p>
    <w:p>
      <w:pPr>
        <w:pStyle w:val="ListParagraph"/>
        <w:numPr>
          <w:ilvl w:val="0"/>
          <w:numId w:val="2"/>
        </w:numPr>
        <w:spacing w:after="80" w:line="300"/>
      </w:pPr>
      <w:r>
        <w:rPr>
          <w:color w:val="1F2937"/>
          <w:sz w:val="22"/>
          <w:szCs w:val="22"/>
        </w:rPr>
        <w:t xml:space="preserve">Principal amortization: $420,000 (3.0% of original principal)</w:t>
      </w:r>
    </w:p>
    <w:p>
      <w:pPr>
        <w:pStyle w:val="ListParagraph"/>
        <w:numPr>
          <w:ilvl w:val="0"/>
          <w:numId w:val="2"/>
        </w:numPr>
        <w:spacing w:after="80" w:line="300"/>
      </w:pPr>
      <w:r>
        <w:rPr>
          <w:color w:val="1F2937"/>
          <w:sz w:val="22"/>
          <w:szCs w:val="22"/>
        </w:rPr>
        <w:t xml:space="preserve">Principal payment date: 1 March 2032</w:t>
      </w:r>
    </w:p>
    <w:p>
      <w:pPr>
        <w:pStyle w:val="ListParagraph"/>
        <w:numPr>
          <w:ilvl w:val="0"/>
          <w:numId w:val="2"/>
        </w:numPr>
        <w:spacing w:after="80" w:line="300"/>
      </w:pPr>
      <w:r>
        <w:rPr>
          <w:color w:val="1F2937"/>
          <w:sz w:val="22"/>
          <w:szCs w:val="22"/>
        </w:rPr>
        <w:t xml:space="preserve">Interest payments: semi-annual on outstanding principal</w:t>
      </w:r>
    </w:p>
    <w:p>
      <w:pPr>
        <w:pStyle w:val="ListParagraph"/>
        <w:numPr>
          <w:ilvl w:val="0"/>
          <w:numId w:val="2"/>
        </w:numPr>
        <w:spacing w:after="80" w:line="300"/>
      </w:pPr>
      <w:r>
        <w:rPr>
          <w:color w:val="1F2937"/>
          <w:sz w:val="22"/>
          <w:szCs w:val="22"/>
        </w:rPr>
        <w:t xml:space="preserve">Outstanding principal at year-end: $12,460,000</w:t>
      </w:r>
    </w:p>
    <w:p>
      <w:pPr>
        <w:pStyle w:val="ListParagraph"/>
        <w:numPr>
          <w:ilvl w:val="0"/>
          <w:numId w:val="2"/>
        </w:numPr>
        <w:spacing w:after="80" w:line="300"/>
      </w:pPr>
      <w:r>
        <w:rPr>
          <w:color w:val="1F2937"/>
          <w:sz w:val="22"/>
          <w:szCs w:val="22"/>
        </w:rPr>
        <w:t xml:space="preserve">Note: call price steps down to par on 1 March 2032</w:t>
      </w:r>
    </w:p>
    <w:p>
      <w:pPr>
        <w:spacing w:after="80" w:before="180"/>
      </w:pPr>
      <w:r>
        <w:rPr>
          <w:b/>
          <w:bCs/>
          <w:i/>
          <w:iCs/>
          <w:color w:val="374151"/>
          <w:sz w:val="22"/>
          <w:szCs w:val="22"/>
        </w:rPr>
        <w:t xml:space="preserve">Year 7 (March 2032 — March 2033) — Maturity Year</w:t>
      </w:r>
    </w:p>
    <w:p>
      <w:pPr>
        <w:pStyle w:val="ListParagraph"/>
        <w:numPr>
          <w:ilvl w:val="0"/>
          <w:numId w:val="2"/>
        </w:numPr>
        <w:spacing w:after="80" w:line="300"/>
      </w:pPr>
      <w:r>
        <w:rPr>
          <w:color w:val="1F2937"/>
          <w:sz w:val="22"/>
          <w:szCs w:val="22"/>
        </w:rPr>
        <w:t xml:space="preserve">Principal amortization: scheduled $420,000 (3.0% of original principal) on 1 March 2032; balloon payment of remaining principal at maturity</w:t>
      </w:r>
    </w:p>
    <w:p>
      <w:pPr>
        <w:pStyle w:val="ListParagraph"/>
        <w:numPr>
          <w:ilvl w:val="0"/>
          <w:numId w:val="2"/>
        </w:numPr>
        <w:spacing w:after="80" w:line="300"/>
      </w:pPr>
      <w:r>
        <w:rPr>
          <w:color w:val="1F2937"/>
          <w:sz w:val="22"/>
          <w:szCs w:val="22"/>
        </w:rPr>
        <w:t xml:space="preserve">Final balloon payment date: 1 March 2033</w:t>
      </w:r>
    </w:p>
    <w:p>
      <w:pPr>
        <w:pStyle w:val="ListParagraph"/>
        <w:numPr>
          <w:ilvl w:val="0"/>
          <w:numId w:val="2"/>
        </w:numPr>
        <w:spacing w:after="80" w:line="300"/>
      </w:pPr>
      <w:r>
        <w:rPr>
          <w:color w:val="1F2937"/>
          <w:sz w:val="22"/>
          <w:szCs w:val="22"/>
        </w:rPr>
        <w:t xml:space="preserve">Final balloon amount: $12,040,000</w:t>
      </w:r>
    </w:p>
    <w:p>
      <w:pPr>
        <w:pStyle w:val="ListParagraph"/>
        <w:numPr>
          <w:ilvl w:val="0"/>
          <w:numId w:val="2"/>
        </w:numPr>
        <w:spacing w:after="80" w:line="300"/>
      </w:pPr>
      <w:r>
        <w:rPr>
          <w:color w:val="1F2937"/>
          <w:sz w:val="22"/>
          <w:szCs w:val="22"/>
        </w:rPr>
        <w:t xml:space="preserve">Note: balloon expected to be refinanced at sponsor exit (expected year 5-6) or by maturity refinancing if exit is delayed</w:t>
      </w:r>
    </w:p>
    <w:p>
      <w:pPr>
        <w:spacing w:after="80" w:before="180"/>
      </w:pPr>
      <w:r>
        <w:rPr>
          <w:b/>
          <w:bCs/>
          <w:i/>
          <w:iCs/>
          <w:color w:val="374151"/>
          <w:sz w:val="22"/>
          <w:szCs w:val="22"/>
        </w:rPr>
        <w:t xml:space="preserve">Amortization Summary Table</w:t>
      </w:r>
    </w:p>
    <w:p>
      <w:pPr>
        <w:pStyle w:val="ListParagraph"/>
        <w:numPr>
          <w:ilvl w:val="0"/>
          <w:numId w:val="2"/>
        </w:numPr>
        <w:spacing w:after="80" w:line="300"/>
      </w:pPr>
      <w:r>
        <w:rPr>
          <w:color w:val="1F2937"/>
          <w:sz w:val="22"/>
          <w:szCs w:val="22"/>
        </w:rPr>
        <w:t xml:space="preserve">Year 1: $0 principal, $14,000,000 outstanding at year-end</w:t>
      </w:r>
    </w:p>
    <w:p>
      <w:pPr>
        <w:pStyle w:val="ListParagraph"/>
        <w:numPr>
          <w:ilvl w:val="0"/>
          <w:numId w:val="2"/>
        </w:numPr>
        <w:spacing w:after="80" w:line="300"/>
      </w:pPr>
      <w:r>
        <w:rPr>
          <w:color w:val="1F2937"/>
          <w:sz w:val="22"/>
          <w:szCs w:val="22"/>
        </w:rPr>
        <w:t xml:space="preserve">Year 2: $140,000 principal, $13,860,000 outstanding</w:t>
      </w:r>
    </w:p>
    <w:p>
      <w:pPr>
        <w:pStyle w:val="ListParagraph"/>
        <w:numPr>
          <w:ilvl w:val="0"/>
          <w:numId w:val="2"/>
        </w:numPr>
        <w:spacing w:after="80" w:line="300"/>
      </w:pPr>
      <w:r>
        <w:rPr>
          <w:color w:val="1F2937"/>
          <w:sz w:val="22"/>
          <w:szCs w:val="22"/>
        </w:rPr>
        <w:t xml:space="preserve">Year 3: $280,000 principal, $13,580,000 outstanding</w:t>
      </w:r>
    </w:p>
    <w:p>
      <w:pPr>
        <w:pStyle w:val="ListParagraph"/>
        <w:numPr>
          <w:ilvl w:val="0"/>
          <w:numId w:val="2"/>
        </w:numPr>
        <w:spacing w:after="80" w:line="300"/>
      </w:pPr>
      <w:r>
        <w:rPr>
          <w:color w:val="1F2937"/>
          <w:sz w:val="22"/>
          <w:szCs w:val="22"/>
        </w:rPr>
        <w:t xml:space="preserve">Year 4: $280,000 principal, $13,300,000 outstanding</w:t>
      </w:r>
    </w:p>
    <w:p>
      <w:pPr>
        <w:pStyle w:val="ListParagraph"/>
        <w:numPr>
          <w:ilvl w:val="0"/>
          <w:numId w:val="2"/>
        </w:numPr>
        <w:spacing w:after="80" w:line="300"/>
      </w:pPr>
      <w:r>
        <w:rPr>
          <w:color w:val="1F2937"/>
          <w:sz w:val="22"/>
          <w:szCs w:val="22"/>
        </w:rPr>
        <w:t xml:space="preserve">Year 5: $420,000 principal, $12,880,000 outstanding</w:t>
      </w:r>
    </w:p>
    <w:p>
      <w:pPr>
        <w:pStyle w:val="ListParagraph"/>
        <w:numPr>
          <w:ilvl w:val="0"/>
          <w:numId w:val="2"/>
        </w:numPr>
        <w:spacing w:after="80" w:line="300"/>
      </w:pPr>
      <w:r>
        <w:rPr>
          <w:color w:val="1F2937"/>
          <w:sz w:val="22"/>
          <w:szCs w:val="22"/>
        </w:rPr>
        <w:t xml:space="preserve">Year 6: $420,000 principal, $12,460,000 outstanding</w:t>
      </w:r>
    </w:p>
    <w:p>
      <w:pPr>
        <w:pStyle w:val="ListParagraph"/>
        <w:numPr>
          <w:ilvl w:val="0"/>
          <w:numId w:val="2"/>
        </w:numPr>
        <w:spacing w:after="80" w:line="300"/>
      </w:pPr>
      <w:r>
        <w:rPr>
          <w:color w:val="1F2937"/>
          <w:sz w:val="22"/>
          <w:szCs w:val="22"/>
        </w:rPr>
        <w:t xml:space="preserve">Year 7 (maturity): $420,000 scheduled plus $12,040,000 balloon</w:t>
      </w:r>
    </w:p>
    <w:p>
      <w:pPr>
        <w:pStyle w:val="ListParagraph"/>
        <w:numPr>
          <w:ilvl w:val="0"/>
          <w:numId w:val="2"/>
        </w:numPr>
        <w:spacing w:after="80" w:line="300"/>
      </w:pPr>
      <w:r>
        <w:rPr>
          <w:color w:val="1F2937"/>
          <w:sz w:val="22"/>
          <w:szCs w:val="22"/>
        </w:rPr>
        <w:t xml:space="preserve">Total scheduled amortization over the bond's life (excluding balloon): $1,960,000 (14% of original principal)</w:t>
      </w:r>
    </w:p>
    <w:p>
      <w:pPr>
        <w:pStyle w:val="ListParagraph"/>
        <w:numPr>
          <w:ilvl w:val="0"/>
          <w:numId w:val="2"/>
        </w:numPr>
        <w:spacing w:after="80" w:line="300"/>
      </w:pPr>
      <w:r>
        <w:rPr>
          <w:color w:val="1F2937"/>
          <w:sz w:val="22"/>
          <w:szCs w:val="22"/>
        </w:rPr>
        <w:t xml:space="preserve">Balloon at maturity: $12,040,000 (86% of original principal)</w:t>
      </w:r>
    </w:p>
    <w:p>
      <w:pPr>
        <w:pStyle w:val="Heading3"/>
        <w:spacing w:after="120" w:before="240"/>
      </w:pPr>
      <w:r>
        <w:rPr>
          <w:b/>
          <w:bCs/>
          <w:color w:val="374151"/>
          <w:sz w:val="24"/>
          <w:szCs w:val="24"/>
        </w:rPr>
        <w:t xml:space="preserve">7A.2 — Mandatory Redemption Events</w:t>
      </w:r>
    </w:p>
    <w:p>
      <w:pPr>
        <w:spacing w:after="140" w:line="320"/>
        <w:jc w:val="both"/>
      </w:pPr>
      <w:r>
        <w:rPr>
          <w:color w:val="1F2937"/>
          <w:sz w:val="22"/>
          <w:szCs w:val="22"/>
        </w:rPr>
        <w:t xml:space="preserve">Beyond scheduled amortization, the indenture defines mandatory redemption events that accelerate principal repayment under specified triggers:</w:t>
      </w:r>
    </w:p>
    <w:p>
      <w:pPr>
        <w:spacing w:after="80" w:before="180"/>
      </w:pPr>
      <w:r>
        <w:rPr>
          <w:b/>
          <w:bCs/>
          <w:i/>
          <w:iCs/>
          <w:color w:val="374151"/>
          <w:sz w:val="22"/>
          <w:szCs w:val="22"/>
        </w:rPr>
        <w:t xml:space="preserve">Asset Sale Mandatory Redemption</w:t>
      </w:r>
    </w:p>
    <w:p>
      <w:pPr>
        <w:pStyle w:val="ListParagraph"/>
        <w:numPr>
          <w:ilvl w:val="0"/>
          <w:numId w:val="2"/>
        </w:numPr>
        <w:spacing w:after="80" w:line="300"/>
      </w:pPr>
      <w:r>
        <w:rPr>
          <w:color w:val="1F2937"/>
          <w:sz w:val="22"/>
          <w:szCs w:val="22"/>
        </w:rPr>
        <w:t xml:space="preserve">Trigger: obligor sells assets generating net proceeds exceeding $1,000,000 in any single transaction or $2,500,000 in aggregate during any 12-month period</w:t>
      </w:r>
    </w:p>
    <w:p>
      <w:pPr>
        <w:pStyle w:val="ListParagraph"/>
        <w:numPr>
          <w:ilvl w:val="0"/>
          <w:numId w:val="2"/>
        </w:numPr>
        <w:spacing w:after="80" w:line="300"/>
      </w:pPr>
      <w:r>
        <w:rPr>
          <w:color w:val="1F2937"/>
          <w:sz w:val="22"/>
          <w:szCs w:val="22"/>
        </w:rPr>
        <w:t xml:space="preserve">Reinvestment window: obligor has 365 days from receipt of net proceeds to reinvest in replacement assets within the platform's operational scope</w:t>
      </w:r>
    </w:p>
    <w:p>
      <w:pPr>
        <w:pStyle w:val="ListParagraph"/>
        <w:numPr>
          <w:ilvl w:val="0"/>
          <w:numId w:val="2"/>
        </w:numPr>
        <w:spacing w:after="80" w:line="300"/>
      </w:pPr>
      <w:r>
        <w:rPr>
          <w:color w:val="1F2937"/>
          <w:sz w:val="22"/>
          <w:szCs w:val="22"/>
        </w:rPr>
        <w:t xml:space="preserve">If proceeds not reinvested within the window: mandatory bond redemption at par plus accrued interest in the amount of unreinvested proceeds, with redemption applied pro rata across outstanding bonds</w:t>
      </w:r>
    </w:p>
    <w:p>
      <w:pPr>
        <w:spacing w:after="80" w:before="180"/>
      </w:pPr>
      <w:r>
        <w:rPr>
          <w:b/>
          <w:bCs/>
          <w:i/>
          <w:iCs/>
          <w:color w:val="374151"/>
          <w:sz w:val="22"/>
          <w:szCs w:val="22"/>
        </w:rPr>
        <w:t xml:space="preserve">Insurance Proceeds Mandatory Redemption</w:t>
      </w:r>
    </w:p>
    <w:p>
      <w:pPr>
        <w:pStyle w:val="ListParagraph"/>
        <w:numPr>
          <w:ilvl w:val="0"/>
          <w:numId w:val="2"/>
        </w:numPr>
        <w:spacing w:after="80" w:line="300"/>
      </w:pPr>
      <w:r>
        <w:rPr>
          <w:color w:val="1F2937"/>
          <w:sz w:val="22"/>
          <w:szCs w:val="22"/>
        </w:rPr>
        <w:t xml:space="preserve">Trigger: insurance recovery from casualty loss exceeds $500,000</w:t>
      </w:r>
    </w:p>
    <w:p>
      <w:pPr>
        <w:pStyle w:val="ListParagraph"/>
        <w:numPr>
          <w:ilvl w:val="0"/>
          <w:numId w:val="2"/>
        </w:numPr>
        <w:spacing w:after="80" w:line="300"/>
      </w:pPr>
      <w:r>
        <w:rPr>
          <w:color w:val="1F2937"/>
          <w:sz w:val="22"/>
          <w:szCs w:val="22"/>
        </w:rPr>
        <w:t xml:space="preserve">Reinvestment window: 365 days to rebuild or replace the destroyed assets</w:t>
      </w:r>
    </w:p>
    <w:p>
      <w:pPr>
        <w:pStyle w:val="ListParagraph"/>
        <w:numPr>
          <w:ilvl w:val="0"/>
          <w:numId w:val="2"/>
        </w:numPr>
        <w:spacing w:after="80" w:line="300"/>
      </w:pPr>
      <w:r>
        <w:rPr>
          <w:color w:val="1F2937"/>
          <w:sz w:val="22"/>
          <w:szCs w:val="22"/>
        </w:rPr>
        <w:t xml:space="preserve">If proceeds not reinvested within the window: mandatory bond redemption at par plus accrued interest in the amount of unreinvested proceeds</w:t>
      </w:r>
    </w:p>
    <w:p>
      <w:pPr>
        <w:spacing w:after="80" w:before="180"/>
      </w:pPr>
      <w:r>
        <w:rPr>
          <w:b/>
          <w:bCs/>
          <w:i/>
          <w:iCs/>
          <w:color w:val="374151"/>
          <w:sz w:val="22"/>
          <w:szCs w:val="22"/>
        </w:rPr>
        <w:t xml:space="preserve">Condemnation Proceeds Mandatory Redemption</w:t>
      </w:r>
    </w:p>
    <w:p>
      <w:pPr>
        <w:pStyle w:val="ListParagraph"/>
        <w:numPr>
          <w:ilvl w:val="0"/>
          <w:numId w:val="2"/>
        </w:numPr>
        <w:spacing w:after="80" w:line="300"/>
      </w:pPr>
      <w:r>
        <w:rPr>
          <w:color w:val="1F2937"/>
          <w:sz w:val="22"/>
          <w:szCs w:val="22"/>
        </w:rPr>
        <w:t xml:space="preserve">Trigger: condemnation award from government taking of obligor property</w:t>
      </w:r>
    </w:p>
    <w:p>
      <w:pPr>
        <w:pStyle w:val="ListParagraph"/>
        <w:numPr>
          <w:ilvl w:val="0"/>
          <w:numId w:val="2"/>
        </w:numPr>
        <w:spacing w:after="80" w:line="300"/>
      </w:pPr>
      <w:r>
        <w:rPr>
          <w:color w:val="1F2937"/>
          <w:sz w:val="22"/>
          <w:szCs w:val="22"/>
        </w:rPr>
        <w:t xml:space="preserve">Reinvestment window: 365 days</w:t>
      </w:r>
    </w:p>
    <w:p>
      <w:pPr>
        <w:pStyle w:val="ListParagraph"/>
        <w:numPr>
          <w:ilvl w:val="0"/>
          <w:numId w:val="2"/>
        </w:numPr>
        <w:spacing w:after="80" w:line="300"/>
      </w:pPr>
      <w:r>
        <w:rPr>
          <w:color w:val="1F2937"/>
          <w:sz w:val="22"/>
          <w:szCs w:val="22"/>
        </w:rPr>
        <w:t xml:space="preserve">If proceeds not reinvested: mandatory bond redemption at par plus accrued</w:t>
      </w:r>
    </w:p>
    <w:p>
      <w:pPr>
        <w:spacing w:after="80" w:before="180"/>
      </w:pPr>
      <w:r>
        <w:rPr>
          <w:b/>
          <w:bCs/>
          <w:i/>
          <w:iCs/>
          <w:color w:val="374151"/>
          <w:sz w:val="22"/>
          <w:szCs w:val="22"/>
        </w:rPr>
        <w:t xml:space="preserve">Excess Cash Sweep</w:t>
      </w:r>
    </w:p>
    <w:p>
      <w:pPr>
        <w:pStyle w:val="ListParagraph"/>
        <w:numPr>
          <w:ilvl w:val="0"/>
          <w:numId w:val="2"/>
        </w:numPr>
        <w:spacing w:after="80" w:line="300"/>
      </w:pPr>
      <w:r>
        <w:rPr>
          <w:color w:val="1F2937"/>
          <w:sz w:val="22"/>
          <w:szCs w:val="22"/>
        </w:rPr>
        <w:t xml:space="preserve">Trigger: at fiscal year-end, if obligor's leverage ratio exceeds 5.0x and the obligor has excess cash above the operating reserve requirement</w:t>
      </w:r>
    </w:p>
    <w:p>
      <w:pPr>
        <w:pStyle w:val="ListParagraph"/>
        <w:numPr>
          <w:ilvl w:val="0"/>
          <w:numId w:val="2"/>
        </w:numPr>
        <w:spacing w:after="80" w:line="300"/>
      </w:pPr>
      <w:r>
        <w:rPr>
          <w:color w:val="1F2937"/>
          <w:sz w:val="22"/>
          <w:szCs w:val="22"/>
        </w:rPr>
        <w:t xml:space="preserve">Sweep amount: 50% of excess cash above operating reserve requirement</w:t>
      </w:r>
    </w:p>
    <w:p>
      <w:pPr>
        <w:pStyle w:val="ListParagraph"/>
        <w:numPr>
          <w:ilvl w:val="0"/>
          <w:numId w:val="2"/>
        </w:numPr>
        <w:spacing w:after="80" w:line="300"/>
      </w:pPr>
      <w:r>
        <w:rPr>
          <w:color w:val="1F2937"/>
          <w:sz w:val="22"/>
          <w:szCs w:val="22"/>
        </w:rPr>
        <w:t xml:space="preserve">Application: pro rata redemption of bonds at par plus accrued interest</w:t>
      </w:r>
    </w:p>
    <w:p>
      <w:pPr>
        <w:pStyle w:val="ListParagraph"/>
        <w:numPr>
          <w:ilvl w:val="0"/>
          <w:numId w:val="2"/>
        </w:numPr>
        <w:spacing w:after="80" w:line="300"/>
      </w:pPr>
      <w:r>
        <w:rPr>
          <w:color w:val="1F2937"/>
          <w:sz w:val="22"/>
          <w:szCs w:val="22"/>
        </w:rPr>
        <w:t xml:space="preserve">Cessation: sweep terminates when leverage ratio falls below 4.0x for two consecutive testing periods</w:t>
      </w:r>
    </w:p>
    <w:p>
      <w:pPr>
        <w:spacing w:after="80" w:before="180"/>
      </w:pPr>
      <w:r>
        <w:rPr>
          <w:b/>
          <w:bCs/>
          <w:i/>
          <w:iCs/>
          <w:color w:val="374151"/>
          <w:sz w:val="22"/>
          <w:szCs w:val="22"/>
        </w:rPr>
        <w:t xml:space="preserve">Change of Control Mandatory Tender (Bondholder Option)</w:t>
      </w:r>
    </w:p>
    <w:p>
      <w:pPr>
        <w:pStyle w:val="ListParagraph"/>
        <w:numPr>
          <w:ilvl w:val="0"/>
          <w:numId w:val="2"/>
        </w:numPr>
        <w:spacing w:after="80" w:line="300"/>
      </w:pPr>
      <w:r>
        <w:rPr>
          <w:color w:val="1F2937"/>
          <w:sz w:val="22"/>
          <w:szCs w:val="22"/>
        </w:rPr>
        <w:t xml:space="preserve">Trigger: sale or transfer of more than 50% of the equity in the obligor to a non-permitted holder (other than to an affiliate of the sponsor or to a defined permitted holder)</w:t>
      </w:r>
    </w:p>
    <w:p>
      <w:pPr>
        <w:pStyle w:val="ListParagraph"/>
        <w:numPr>
          <w:ilvl w:val="0"/>
          <w:numId w:val="2"/>
        </w:numPr>
        <w:spacing w:after="80" w:line="300"/>
      </w:pPr>
      <w:r>
        <w:rPr>
          <w:color w:val="1F2937"/>
          <w:sz w:val="22"/>
          <w:szCs w:val="22"/>
        </w:rPr>
        <w:t xml:space="preserve">Bondholder right: each bondholder may put bonds back to the obligor at 101% of par plus accrued interest within 30 days of the change of control notice</w:t>
      </w:r>
    </w:p>
    <w:p>
      <w:pPr>
        <w:pStyle w:val="ListParagraph"/>
        <w:numPr>
          <w:ilvl w:val="0"/>
          <w:numId w:val="2"/>
        </w:numPr>
        <w:spacing w:after="80" w:line="300"/>
      </w:pPr>
      <w:r>
        <w:rPr>
          <w:color w:val="1F2937"/>
          <w:sz w:val="22"/>
          <w:szCs w:val="22"/>
        </w:rPr>
        <w:t xml:space="preserve">Obligor obligation: redeem all tendered bonds at 101 plus accrued within 60 days of the change of control</w:t>
      </w:r>
    </w:p>
    <w:p>
      <w:pPr>
        <w:spacing w:after="80" w:before="180"/>
      </w:pPr>
      <w:r>
        <w:rPr>
          <w:b/>
          <w:bCs/>
          <w:i/>
          <w:iCs/>
          <w:color w:val="374151"/>
          <w:sz w:val="22"/>
          <w:szCs w:val="22"/>
        </w:rPr>
        <w:t xml:space="preserve">Tax Event Mandatory Redemption</w:t>
      </w:r>
    </w:p>
    <w:p>
      <w:pPr>
        <w:pStyle w:val="ListParagraph"/>
        <w:numPr>
          <w:ilvl w:val="0"/>
          <w:numId w:val="2"/>
        </w:numPr>
        <w:spacing w:after="80" w:line="300"/>
      </w:pPr>
      <w:r>
        <w:rPr>
          <w:color w:val="1F2937"/>
          <w:sz w:val="22"/>
          <w:szCs w:val="22"/>
        </w:rPr>
        <w:t xml:space="preserve">Trigger: change in U.S. federal income tax law that materially affects the bond's tax treatment in a manner adverse to the obligor or the bondholders</w:t>
      </w:r>
    </w:p>
    <w:p>
      <w:pPr>
        <w:pStyle w:val="ListParagraph"/>
        <w:numPr>
          <w:ilvl w:val="0"/>
          <w:numId w:val="2"/>
        </w:numPr>
        <w:spacing w:after="80" w:line="300"/>
      </w:pPr>
      <w:r>
        <w:rPr>
          <w:color w:val="1F2937"/>
          <w:sz w:val="22"/>
          <w:szCs w:val="22"/>
        </w:rPr>
        <w:t xml:space="preserve">Redemption price: par plus accrued interest</w:t>
      </w:r>
    </w:p>
    <w:p>
      <w:pPr>
        <w:pStyle w:val="ListParagraph"/>
        <w:numPr>
          <w:ilvl w:val="0"/>
          <w:numId w:val="2"/>
        </w:numPr>
        <w:spacing w:after="80" w:line="300"/>
      </w:pPr>
      <w:r>
        <w:rPr>
          <w:color w:val="1F2937"/>
          <w:sz w:val="22"/>
          <w:szCs w:val="22"/>
        </w:rPr>
        <w:t xml:space="preserve">Notice period: 30-60 days</w:t>
      </w:r>
    </w:p>
    <w:p>
      <w:pPr>
        <w:pStyle w:val="Heading3"/>
        <w:spacing w:after="120" w:before="240"/>
      </w:pPr>
      <w:r>
        <w:rPr>
          <w:b/>
          <w:bCs/>
          <w:color w:val="374151"/>
          <w:sz w:val="24"/>
          <w:szCs w:val="24"/>
        </w:rPr>
        <w:t xml:space="preserve">7A.3 — Excess Cash Distribution Mechanics</w:t>
      </w:r>
    </w:p>
    <w:p>
      <w:pPr>
        <w:spacing w:after="140" w:line="320"/>
        <w:jc w:val="both"/>
      </w:pPr>
      <w:r>
        <w:rPr>
          <w:color w:val="1F2937"/>
          <w:sz w:val="22"/>
          <w:szCs w:val="22"/>
        </w:rPr>
        <w:t xml:space="preserve">When obligor cash flow exceeds debt service and reserves, the indenture defines how excess cash flows through the structure. The waterfall:</w:t>
      </w:r>
    </w:p>
    <w:p>
      <w:pPr>
        <w:pStyle w:val="ListParagraph"/>
        <w:numPr>
          <w:ilvl w:val="0"/>
          <w:numId w:val="2"/>
        </w:numPr>
        <w:spacing w:after="80" w:line="300"/>
      </w:pPr>
      <w:r>
        <w:rPr>
          <w:color w:val="1F2937"/>
          <w:sz w:val="22"/>
          <w:szCs w:val="22"/>
        </w:rPr>
        <w:t xml:space="preserve">Step 1: Operating expenses paid first (outside the waterfall)</w:t>
      </w:r>
    </w:p>
    <w:p>
      <w:pPr>
        <w:pStyle w:val="ListParagraph"/>
        <w:numPr>
          <w:ilvl w:val="0"/>
          <w:numId w:val="2"/>
        </w:numPr>
        <w:spacing w:after="80" w:line="300"/>
      </w:pPr>
      <w:r>
        <w:rPr>
          <w:color w:val="1F2937"/>
          <w:sz w:val="22"/>
          <w:szCs w:val="22"/>
        </w:rPr>
        <w:t xml:space="preserve">Step 2: Trustee and administration fees</w:t>
      </w:r>
    </w:p>
    <w:p>
      <w:pPr>
        <w:pStyle w:val="ListParagraph"/>
        <w:numPr>
          <w:ilvl w:val="0"/>
          <w:numId w:val="2"/>
        </w:numPr>
        <w:spacing w:after="80" w:line="300"/>
      </w:pPr>
      <w:r>
        <w:rPr>
          <w:color w:val="1F2937"/>
          <w:sz w:val="22"/>
          <w:szCs w:val="22"/>
        </w:rPr>
        <w:t xml:space="preserve">Step 3: Scheduled senior bond interest</w:t>
      </w:r>
    </w:p>
    <w:p>
      <w:pPr>
        <w:pStyle w:val="ListParagraph"/>
        <w:numPr>
          <w:ilvl w:val="0"/>
          <w:numId w:val="2"/>
        </w:numPr>
        <w:spacing w:after="80" w:line="300"/>
      </w:pPr>
      <w:r>
        <w:rPr>
          <w:color w:val="1F2937"/>
          <w:sz w:val="22"/>
          <w:szCs w:val="22"/>
        </w:rPr>
        <w:t xml:space="preserve">Step 4: Scheduled senior bond principal (sinking fund / amortization payments)</w:t>
      </w:r>
    </w:p>
    <w:p>
      <w:pPr>
        <w:pStyle w:val="ListParagraph"/>
        <w:numPr>
          <w:ilvl w:val="0"/>
          <w:numId w:val="2"/>
        </w:numPr>
        <w:spacing w:after="80" w:line="300"/>
      </w:pPr>
      <w:r>
        <w:rPr>
          <w:color w:val="1F2937"/>
          <w:sz w:val="22"/>
          <w:szCs w:val="22"/>
        </w:rPr>
        <w:t xml:space="preserve">Step 5: DSRF replenishment if drawn</w:t>
      </w:r>
    </w:p>
    <w:p>
      <w:pPr>
        <w:pStyle w:val="ListParagraph"/>
        <w:numPr>
          <w:ilvl w:val="0"/>
          <w:numId w:val="2"/>
        </w:numPr>
        <w:spacing w:after="80" w:line="300"/>
      </w:pPr>
      <w:r>
        <w:rPr>
          <w:color w:val="1F2937"/>
          <w:sz w:val="22"/>
          <w:szCs w:val="22"/>
        </w:rPr>
        <w:t xml:space="preserve">Step 6: Junior debt service (if applicable — second-lien tranche or seller note)</w:t>
      </w:r>
    </w:p>
    <w:p>
      <w:pPr>
        <w:pStyle w:val="ListParagraph"/>
        <w:numPr>
          <w:ilvl w:val="0"/>
          <w:numId w:val="2"/>
        </w:numPr>
        <w:spacing w:after="80" w:line="300"/>
      </w:pPr>
      <w:r>
        <w:rPr>
          <w:color w:val="1F2937"/>
          <w:sz w:val="22"/>
          <w:szCs w:val="22"/>
        </w:rPr>
        <w:t xml:space="preserve">Step 7: R&amp;R reserve funding (if applicable)</w:t>
      </w:r>
    </w:p>
    <w:p>
      <w:pPr>
        <w:pStyle w:val="ListParagraph"/>
        <w:numPr>
          <w:ilvl w:val="0"/>
          <w:numId w:val="2"/>
        </w:numPr>
        <w:spacing w:after="80" w:line="300"/>
      </w:pPr>
      <w:r>
        <w:rPr>
          <w:color w:val="1F2937"/>
          <w:sz w:val="22"/>
          <w:szCs w:val="22"/>
        </w:rPr>
        <w:t xml:space="preserve">Step 8: Operating reserve maintenance</w:t>
      </w:r>
    </w:p>
    <w:p>
      <w:pPr>
        <w:pStyle w:val="ListParagraph"/>
        <w:numPr>
          <w:ilvl w:val="0"/>
          <w:numId w:val="2"/>
        </w:numPr>
        <w:spacing w:after="80" w:line="300"/>
      </w:pPr>
      <w:r>
        <w:rPr>
          <w:color w:val="1F2937"/>
          <w:sz w:val="22"/>
          <w:szCs w:val="22"/>
        </w:rPr>
        <w:t xml:space="preserve">Step 9: Permitted restricted payments (per the restricted payment build-up in the indenture)</w:t>
      </w:r>
    </w:p>
    <w:p>
      <w:pPr>
        <w:pStyle w:val="ListParagraph"/>
        <w:numPr>
          <w:ilvl w:val="0"/>
          <w:numId w:val="2"/>
        </w:numPr>
        <w:spacing w:after="80" w:line="300"/>
      </w:pPr>
      <w:r>
        <w:rPr>
          <w:color w:val="1F2937"/>
          <w:sz w:val="22"/>
          <w:szCs w:val="22"/>
        </w:rPr>
        <w:t xml:space="preserve">Step 10: Excess cash sweep (if leverage ratio triggers sweep mechanic)</w:t>
      </w:r>
    </w:p>
    <w:p>
      <w:pPr>
        <w:pStyle w:val="ListParagraph"/>
        <w:numPr>
          <w:ilvl w:val="0"/>
          <w:numId w:val="2"/>
        </w:numPr>
        <w:spacing w:after="80" w:line="300"/>
      </w:pPr>
      <w:r>
        <w:rPr>
          <w:color w:val="1F2937"/>
          <w:sz w:val="22"/>
          <w:szCs w:val="22"/>
        </w:rPr>
        <w:t xml:space="preserve">Step 11: Released to obligor for general operating use, subject to restricted payment limitations on distributions to sponsor</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8A. The Specific Optionality and Call Schedule</w:t>
      </w:r>
    </w:p>
    <w:p>
      <w:pPr>
        <w:spacing w:after="140" w:line="320"/>
        <w:jc w:val="both"/>
      </w:pPr>
      <w:r>
        <w:rPr>
          <w:color w:val="1F2937"/>
          <w:sz w:val="22"/>
          <w:szCs w:val="22"/>
        </w:rPr>
        <w:t xml:space="preserve">This section sets the actual call schedule for the worked example deal, with specific dates, call prices, and notice provisions. Other M&amp;A acquisition bond deals follow the same general pattern with dates and prices calibrated to the specific deal.</w:t>
      </w:r>
    </w:p>
    <w:p>
      <w:pPr>
        <w:pStyle w:val="Heading3"/>
        <w:spacing w:after="120" w:before="240"/>
      </w:pPr>
      <w:r>
        <w:rPr>
          <w:b/>
          <w:bCs/>
          <w:color w:val="374151"/>
          <w:sz w:val="24"/>
          <w:szCs w:val="24"/>
        </w:rPr>
        <w:t xml:space="preserve">8A.1 — Non-Call Period</w:t>
      </w:r>
    </w:p>
    <w:p>
      <w:pPr>
        <w:spacing w:after="100" w:line="300"/>
        <w:ind w:left="200"/>
        <w:jc w:val="both"/>
      </w:pPr>
      <w:r>
        <w:rPr>
          <w:b/>
          <w:bCs/>
          <w:color w:val="B8860B"/>
          <w:sz w:val="22"/>
          <w:szCs w:val="22"/>
        </w:rPr>
        <w:t xml:space="preserve">Non-Call End Date — </w:t>
      </w:r>
      <w:r>
        <w:rPr>
          <w:color w:val="1F2937"/>
          <w:sz w:val="22"/>
          <w:szCs w:val="22"/>
        </w:rPr>
        <w:t xml:space="preserve">1 March 2030 (4 years from close)</w:t>
      </w:r>
    </w:p>
    <w:p>
      <w:pPr>
        <w:spacing w:after="140" w:line="320"/>
        <w:jc w:val="both"/>
      </w:pPr>
      <w:r>
        <w:rPr>
          <w:color w:val="1F2937"/>
          <w:sz w:val="22"/>
          <w:szCs w:val="22"/>
        </w:rPr>
        <w:t xml:space="preserve">From 1 March 2026 through 28 February 2030, the bonds are not callable at the obligor's option, except as provided below under the equity claw provision and the tax event redemption provision.</w:t>
      </w:r>
    </w:p>
    <w:p>
      <w:pPr>
        <w:spacing w:after="140" w:line="320"/>
        <w:jc w:val="both"/>
      </w:pPr>
      <w:r>
        <w:rPr>
          <w:color w:val="1F2937"/>
          <w:sz w:val="22"/>
          <w:szCs w:val="22"/>
        </w:rPr>
        <w:t xml:space="preserve">The non-call period is structured at 4 years (rather than the more typical 3 years) to align with the worked example's 5-year expected sponsor hold period. Bondholders receive defined duration through year 4, with the call window opening as the sponsor approaches exit.</w:t>
      </w:r>
    </w:p>
    <w:p>
      <w:pPr>
        <w:pStyle w:val="Heading3"/>
        <w:spacing w:after="120" w:before="240"/>
      </w:pPr>
      <w:r>
        <w:rPr>
          <w:b/>
          <w:bCs/>
          <w:color w:val="374151"/>
          <w:sz w:val="24"/>
          <w:szCs w:val="24"/>
        </w:rPr>
        <w:t xml:space="preserve">8A.2 — Call Schedule (Optional Redemption)</w:t>
      </w:r>
    </w:p>
    <w:p>
      <w:pPr>
        <w:spacing w:after="140" w:line="320"/>
        <w:jc w:val="both"/>
      </w:pPr>
      <w:r>
        <w:rPr>
          <w:color w:val="1F2937"/>
          <w:sz w:val="22"/>
          <w:szCs w:val="22"/>
        </w:rPr>
        <w:t xml:space="preserve">From 1 March 2030, the bonds are callable at the obligor's option at the following prices, expressed as a percentage of principal amount being called plus accrued interest to the redemption date:</w:t>
      </w:r>
    </w:p>
    <w:p>
      <w:pPr>
        <w:spacing w:after="80" w:before="180"/>
      </w:pPr>
      <w:r>
        <w:rPr>
          <w:b/>
          <w:bCs/>
          <w:i/>
          <w:iCs/>
          <w:color w:val="374151"/>
          <w:sz w:val="22"/>
          <w:szCs w:val="22"/>
        </w:rPr>
        <w:t xml:space="preserve">Call Schedule</w:t>
      </w:r>
    </w:p>
    <w:p>
      <w:pPr>
        <w:pStyle w:val="ListParagraph"/>
        <w:numPr>
          <w:ilvl w:val="0"/>
          <w:numId w:val="2"/>
        </w:numPr>
        <w:spacing w:after="80" w:line="300"/>
      </w:pPr>
      <w:r>
        <w:rPr>
          <w:color w:val="1F2937"/>
          <w:sz w:val="22"/>
          <w:szCs w:val="22"/>
        </w:rPr>
        <w:t xml:space="preserve">1 March 2030 through 28 February 2031: 102% (callable at 102 plus accrued)</w:t>
      </w:r>
    </w:p>
    <w:p>
      <w:pPr>
        <w:pStyle w:val="ListParagraph"/>
        <w:numPr>
          <w:ilvl w:val="0"/>
          <w:numId w:val="2"/>
        </w:numPr>
        <w:spacing w:after="80" w:line="300"/>
      </w:pPr>
      <w:r>
        <w:rPr>
          <w:color w:val="1F2937"/>
          <w:sz w:val="22"/>
          <w:szCs w:val="22"/>
        </w:rPr>
        <w:t xml:space="preserve">1 March 2031 through 29 February 2032: 101% (callable at 101 plus accrued)</w:t>
      </w:r>
    </w:p>
    <w:p>
      <w:pPr>
        <w:pStyle w:val="ListParagraph"/>
        <w:numPr>
          <w:ilvl w:val="0"/>
          <w:numId w:val="2"/>
        </w:numPr>
        <w:spacing w:after="80" w:line="300"/>
      </w:pPr>
      <w:r>
        <w:rPr>
          <w:color w:val="1F2937"/>
          <w:sz w:val="22"/>
          <w:szCs w:val="22"/>
        </w:rPr>
        <w:t xml:space="preserve">1 March 2032 through maturity: 100% (callable at par plus accrued)</w:t>
      </w:r>
    </w:p>
    <w:p>
      <w:pPr>
        <w:pStyle w:val="ListParagraph"/>
        <w:numPr>
          <w:ilvl w:val="0"/>
          <w:numId w:val="2"/>
        </w:numPr>
        <w:spacing w:after="80" w:line="300"/>
      </w:pPr>
      <w:r>
        <w:rPr>
          <w:color w:val="1F2937"/>
          <w:sz w:val="22"/>
          <w:szCs w:val="22"/>
        </w:rPr>
        <w:t xml:space="preserve">Par call window (final 90 days): 1 December 2032 through 1 March 2033 — callable at par plus accrued</w:t>
      </w:r>
    </w:p>
    <w:p>
      <w:pPr>
        <w:spacing w:after="80" w:before="180"/>
      </w:pPr>
      <w:r>
        <w:rPr>
          <w:b/>
          <w:bCs/>
          <w:i/>
          <w:iCs/>
          <w:color w:val="374151"/>
          <w:sz w:val="22"/>
          <w:szCs w:val="22"/>
        </w:rPr>
        <w:t xml:space="preserve">Partial Call vs Full Call</w:t>
      </w:r>
    </w:p>
    <w:p>
      <w:pPr>
        <w:pStyle w:val="ListParagraph"/>
        <w:numPr>
          <w:ilvl w:val="0"/>
          <w:numId w:val="2"/>
        </w:numPr>
        <w:spacing w:after="80" w:line="300"/>
      </w:pPr>
      <w:r>
        <w:rPr>
          <w:color w:val="1F2937"/>
          <w:sz w:val="22"/>
          <w:szCs w:val="22"/>
        </w:rPr>
        <w:t xml:space="preserve">Obligor may call bonds in whole or in part</w:t>
      </w:r>
    </w:p>
    <w:p>
      <w:pPr>
        <w:pStyle w:val="ListParagraph"/>
        <w:numPr>
          <w:ilvl w:val="0"/>
          <w:numId w:val="2"/>
        </w:numPr>
        <w:spacing w:after="80" w:line="300"/>
      </w:pPr>
      <w:r>
        <w:rPr>
          <w:color w:val="1F2937"/>
          <w:sz w:val="22"/>
          <w:szCs w:val="22"/>
        </w:rPr>
        <w:t xml:space="preserve">Partial calls must be in minimum increments of $1,000,000 of principal amount</w:t>
      </w:r>
    </w:p>
    <w:p>
      <w:pPr>
        <w:pStyle w:val="ListParagraph"/>
        <w:numPr>
          <w:ilvl w:val="0"/>
          <w:numId w:val="2"/>
        </w:numPr>
        <w:spacing w:after="80" w:line="300"/>
      </w:pPr>
      <w:r>
        <w:rPr>
          <w:color w:val="1F2937"/>
          <w:sz w:val="22"/>
          <w:szCs w:val="22"/>
        </w:rPr>
        <w:t xml:space="preserve">Partial calls applied pro rata across outstanding bonds (selected by lot at the trustee)</w:t>
      </w:r>
    </w:p>
    <w:p>
      <w:pPr>
        <w:spacing w:after="80" w:before="180"/>
      </w:pPr>
      <w:r>
        <w:rPr>
          <w:b/>
          <w:bCs/>
          <w:i/>
          <w:iCs/>
          <w:color w:val="374151"/>
          <w:sz w:val="22"/>
          <w:szCs w:val="22"/>
        </w:rPr>
        <w:t xml:space="preserve">Notice Period</w:t>
      </w:r>
    </w:p>
    <w:p>
      <w:pPr>
        <w:pStyle w:val="ListParagraph"/>
        <w:numPr>
          <w:ilvl w:val="0"/>
          <w:numId w:val="2"/>
        </w:numPr>
        <w:spacing w:after="80" w:line="300"/>
      </w:pPr>
      <w:r>
        <w:rPr>
          <w:color w:val="1F2937"/>
          <w:sz w:val="22"/>
          <w:szCs w:val="22"/>
        </w:rPr>
        <w:t xml:space="preserve">Minimum 30 days notice to bondholders</w:t>
      </w:r>
    </w:p>
    <w:p>
      <w:pPr>
        <w:pStyle w:val="ListParagraph"/>
        <w:numPr>
          <w:ilvl w:val="0"/>
          <w:numId w:val="2"/>
        </w:numPr>
        <w:spacing w:after="80" w:line="300"/>
      </w:pPr>
      <w:r>
        <w:rPr>
          <w:color w:val="1F2937"/>
          <w:sz w:val="22"/>
          <w:szCs w:val="22"/>
        </w:rPr>
        <w:t xml:space="preserve">Maximum 60 days notice</w:t>
      </w:r>
    </w:p>
    <w:p>
      <w:pPr>
        <w:pStyle w:val="ListParagraph"/>
        <w:numPr>
          <w:ilvl w:val="0"/>
          <w:numId w:val="2"/>
        </w:numPr>
        <w:spacing w:after="80" w:line="300"/>
      </w:pPr>
      <w:r>
        <w:rPr>
          <w:color w:val="1F2937"/>
          <w:sz w:val="22"/>
          <w:szCs w:val="22"/>
        </w:rPr>
        <w:t xml:space="preserve">Notice must specify: redemption date, redemption price, principal amount being called, CUSIP, and payment instructions</w:t>
      </w:r>
    </w:p>
    <w:p>
      <w:pPr>
        <w:pStyle w:val="ListParagraph"/>
        <w:numPr>
          <w:ilvl w:val="0"/>
          <w:numId w:val="2"/>
        </w:numPr>
        <w:spacing w:after="80" w:line="300"/>
      </w:pPr>
      <w:r>
        <w:rPr>
          <w:color w:val="1F2937"/>
          <w:sz w:val="22"/>
          <w:szCs w:val="22"/>
        </w:rPr>
        <w:t xml:space="preserve">Notice delivered through the trustee to DTC for distribution to beneficial owners through DTC participants</w:t>
      </w:r>
    </w:p>
    <w:p>
      <w:pPr>
        <w:pStyle w:val="Heading3"/>
        <w:spacing w:after="120" w:before="240"/>
      </w:pPr>
      <w:r>
        <w:rPr>
          <w:b/>
          <w:bCs/>
          <w:color w:val="374151"/>
          <w:sz w:val="24"/>
          <w:szCs w:val="24"/>
        </w:rPr>
        <w:t xml:space="preserve">8A.3 — Make-Whole Provisions During Non-Call</w:t>
      </w:r>
    </w:p>
    <w:p>
      <w:pPr>
        <w:spacing w:after="140" w:line="320"/>
        <w:jc w:val="both"/>
      </w:pPr>
      <w:r>
        <w:rPr>
          <w:color w:val="1F2937"/>
          <w:sz w:val="22"/>
          <w:szCs w:val="22"/>
        </w:rPr>
        <w:t xml:space="preserve">This bond does not include a make-whole call during the non-call period. The non-call period is a hard non-call — bonds may not be called at the obligor's option from 1 March 2026 through 28 February 2030 at any price, except as expressly provided under the equity claw and tax event provisions below.</w:t>
      </w:r>
    </w:p>
    <w:p>
      <w:pPr>
        <w:spacing w:after="140" w:line="320"/>
        <w:jc w:val="both"/>
      </w:pPr>
      <w:r>
        <w:rPr>
          <w:color w:val="1F2937"/>
          <w:sz w:val="22"/>
          <w:szCs w:val="22"/>
        </w:rPr>
        <w:t xml:space="preserve">Make-whole call provisions are more common in investment-grade corporate bonds than in non-investment-grade acquisition bonds. For sponsor-backed M&amp;A acquisition bonds in the high-yield space, the hard non-call period plus step-down call schedule is the market convention and provides bondholders with the defined duration required for the rating and pricing.</w:t>
      </w:r>
    </w:p>
    <w:p>
      <w:pPr>
        <w:spacing w:after="140" w:line="320"/>
        <w:jc w:val="both"/>
      </w:pPr>
      <w:r>
        <w:rPr>
          <w:color w:val="1F2937"/>
          <w:sz w:val="22"/>
          <w:szCs w:val="22"/>
        </w:rPr>
        <w:t xml:space="preserve">For larger, higher-rated M&amp;A acquisition bonds (investment-grade sponsor-backed deals or cash-collateralized LC structures), make-whole calls during non-call are negotiable and may be included as an alternative to the hard non-call. The make-whole spread is typically Treasury plus 50 basis points for those structures.</w:t>
      </w:r>
    </w:p>
    <w:p>
      <w:pPr>
        <w:pStyle w:val="Heading3"/>
        <w:spacing w:after="120" w:before="240"/>
      </w:pPr>
      <w:r>
        <w:rPr>
          <w:b/>
          <w:bCs/>
          <w:color w:val="374151"/>
          <w:sz w:val="24"/>
          <w:szCs w:val="24"/>
        </w:rPr>
        <w:t xml:space="preserve">8A.4 — Equity Claw Provision</w:t>
      </w:r>
    </w:p>
    <w:p>
      <w:pPr>
        <w:spacing w:after="100" w:line="300"/>
        <w:ind w:left="200"/>
        <w:jc w:val="both"/>
      </w:pPr>
      <w:r>
        <w:rPr>
          <w:b/>
          <w:bCs/>
          <w:color w:val="B8860B"/>
          <w:sz w:val="22"/>
          <w:szCs w:val="22"/>
        </w:rPr>
        <w:t xml:space="preserve">Equity Claw Amount — </w:t>
      </w:r>
      <w:r>
        <w:rPr>
          <w:color w:val="1F2937"/>
          <w:sz w:val="22"/>
          <w:szCs w:val="22"/>
        </w:rPr>
        <w:t xml:space="preserve">Up to 35% of the original principal amount of the bonds</w:t>
      </w:r>
    </w:p>
    <w:p>
      <w:pPr>
        <w:spacing w:after="100" w:line="300"/>
        <w:ind w:left="200"/>
        <w:jc w:val="both"/>
      </w:pPr>
      <w:r>
        <w:rPr>
          <w:b/>
          <w:bCs/>
          <w:color w:val="B8860B"/>
          <w:sz w:val="22"/>
          <w:szCs w:val="22"/>
        </w:rPr>
        <w:t xml:space="preserve">Equity Claw Window — </w:t>
      </w:r>
      <w:r>
        <w:rPr>
          <w:color w:val="1F2937"/>
          <w:sz w:val="22"/>
          <w:szCs w:val="22"/>
        </w:rPr>
        <w:t xml:space="preserve">During the non-call period (1 March 2026 through 28 February 2030)</w:t>
      </w:r>
    </w:p>
    <w:p>
      <w:pPr>
        <w:spacing w:after="100" w:line="300"/>
        <w:ind w:left="200"/>
        <w:jc w:val="both"/>
      </w:pPr>
      <w:r>
        <w:rPr>
          <w:b/>
          <w:bCs/>
          <w:color w:val="B8860B"/>
          <w:sz w:val="22"/>
          <w:szCs w:val="22"/>
        </w:rPr>
        <w:t xml:space="preserve">Equity Claw Price — </w:t>
      </w:r>
      <w:r>
        <w:rPr>
          <w:color w:val="1F2937"/>
          <w:sz w:val="22"/>
          <w:szCs w:val="22"/>
        </w:rPr>
        <w:t xml:space="preserve">Par plus accrued interest plus a defined premium (typically 100% plus the coupon rate, so for a 9% coupon bond the claw price is 109%)</w:t>
      </w:r>
    </w:p>
    <w:p>
      <w:pPr>
        <w:spacing w:after="100" w:line="300"/>
        <w:ind w:left="200"/>
        <w:jc w:val="both"/>
      </w:pPr>
      <w:r>
        <w:rPr>
          <w:b/>
          <w:bCs/>
          <w:color w:val="B8860B"/>
          <w:sz w:val="22"/>
          <w:szCs w:val="22"/>
        </w:rPr>
        <w:t xml:space="preserve">Equity Claw Source — </w:t>
      </w:r>
      <w:r>
        <w:rPr>
          <w:color w:val="1F2937"/>
          <w:sz w:val="22"/>
          <w:szCs w:val="22"/>
        </w:rPr>
        <w:t xml:space="preserve">Funded exclusively from net proceeds of one or more of: (a) sponsor equity contribution, (b) IPO of the obligor or a parent entity, (c) sale of a meaningful portion of the obligor's business with proceeds applied to the claw rather than asset sale reinvestment</w:t>
      </w:r>
    </w:p>
    <w:p>
      <w:pPr>
        <w:spacing w:after="100" w:line="300"/>
        <w:ind w:left="200"/>
        <w:jc w:val="both"/>
      </w:pPr>
      <w:r>
        <w:rPr>
          <w:b/>
          <w:bCs/>
          <w:color w:val="B8860B"/>
          <w:sz w:val="22"/>
          <w:szCs w:val="22"/>
        </w:rPr>
        <w:t xml:space="preserve">Equity Claw Mechanics — </w:t>
      </w:r>
      <w:r>
        <w:rPr>
          <w:color w:val="1F2937"/>
          <w:sz w:val="22"/>
          <w:szCs w:val="22"/>
        </w:rPr>
        <w:t xml:space="preserve">Obligor notifies the trustee of intent to exercise the equity claw with at least 30 days notice; equity claw is partial only (capped at 35%); equity claw can be exercised only once during the non-call period</w:t>
      </w:r>
    </w:p>
    <w:p>
      <w:pPr>
        <w:spacing w:after="140" w:line="320"/>
        <w:jc w:val="both"/>
      </w:pPr>
      <w:r>
        <w:rPr>
          <w:color w:val="1F2937"/>
          <w:sz w:val="22"/>
          <w:szCs w:val="22"/>
        </w:rPr>
        <w:t xml:space="preserve">The equity claw provides the sponsor with limited early delevering capacity using equity proceeds. The 35% cap protects bondholders from losing too much of the deal early at a time when their duration assumptions still hold. The premium price (par plus coupon) compensates bondholders for the early call relative to the otherwise-hard non-call.</w:t>
      </w:r>
    </w:p>
    <w:p>
      <w:pPr>
        <w:pStyle w:val="Heading3"/>
        <w:spacing w:after="120" w:before="240"/>
      </w:pPr>
      <w:r>
        <w:rPr>
          <w:b/>
          <w:bCs/>
          <w:color w:val="374151"/>
          <w:sz w:val="24"/>
          <w:szCs w:val="24"/>
        </w:rPr>
        <w:t xml:space="preserve">8A.5 — Change of Control Put</w:t>
      </w:r>
    </w:p>
    <w:p>
      <w:pPr>
        <w:spacing w:after="100" w:line="300"/>
        <w:ind w:left="200"/>
        <w:jc w:val="both"/>
      </w:pPr>
      <w:r>
        <w:rPr>
          <w:b/>
          <w:bCs/>
          <w:color w:val="B8860B"/>
          <w:sz w:val="22"/>
          <w:szCs w:val="22"/>
        </w:rPr>
        <w:t xml:space="preserve">Trigger — </w:t>
      </w:r>
      <w:r>
        <w:rPr>
          <w:color w:val="1F2937"/>
          <w:sz w:val="22"/>
          <w:szCs w:val="22"/>
        </w:rPr>
        <w:t xml:space="preserve">Sale, transfer, or other disposition resulting in any person or group acquiring more than 50% of the equity of the obligor, other than: (a) a transfer to an affiliate of the original sponsor; (b) a transfer to a permitted holder defined in the indenture; (c) a transfer pursuant to an exit transaction (sale to a strategic acquirer or sale to another financial sponsor) where the bonds are paid in full at closing</w:t>
      </w:r>
    </w:p>
    <w:p>
      <w:pPr>
        <w:spacing w:after="100" w:line="300"/>
        <w:ind w:left="200"/>
        <w:jc w:val="both"/>
      </w:pPr>
      <w:r>
        <w:rPr>
          <w:b/>
          <w:bCs/>
          <w:color w:val="B8860B"/>
          <w:sz w:val="22"/>
          <w:szCs w:val="22"/>
        </w:rPr>
        <w:t xml:space="preserve">Bondholder Right — </w:t>
      </w:r>
      <w:r>
        <w:rPr>
          <w:color w:val="1F2937"/>
          <w:sz w:val="22"/>
          <w:szCs w:val="22"/>
        </w:rPr>
        <w:t xml:space="preserve">Each bondholder may elect to require the obligor to repurchase that bondholder's bonds at 101% of principal plus accrued interest</w:t>
      </w:r>
    </w:p>
    <w:p>
      <w:pPr>
        <w:spacing w:after="100" w:line="300"/>
        <w:ind w:left="200"/>
        <w:jc w:val="both"/>
      </w:pPr>
      <w:r>
        <w:rPr>
          <w:b/>
          <w:bCs/>
          <w:color w:val="B8860B"/>
          <w:sz w:val="22"/>
          <w:szCs w:val="22"/>
        </w:rPr>
        <w:t xml:space="preserve">Obligor Obligation — </w:t>
      </w:r>
      <w:r>
        <w:rPr>
          <w:color w:val="1F2937"/>
          <w:sz w:val="22"/>
          <w:szCs w:val="22"/>
        </w:rPr>
        <w:t xml:space="preserve">Within 30 days of the change of control, obligor must deliver a written notice to bondholders offering to repurchase at 101 plus accrued</w:t>
      </w:r>
    </w:p>
    <w:p>
      <w:pPr>
        <w:spacing w:after="100" w:line="300"/>
        <w:ind w:left="200"/>
        <w:jc w:val="both"/>
      </w:pPr>
      <w:r>
        <w:rPr>
          <w:b/>
          <w:bCs/>
          <w:color w:val="B8860B"/>
          <w:sz w:val="22"/>
          <w:szCs w:val="22"/>
        </w:rPr>
        <w:t xml:space="preserve">Bondholder Election Window — </w:t>
      </w:r>
      <w:r>
        <w:rPr>
          <w:color w:val="1F2937"/>
          <w:sz w:val="22"/>
          <w:szCs w:val="22"/>
        </w:rPr>
        <w:t xml:space="preserve">30 days from receipt of obligor's notice to elect to tender bonds at 101</w:t>
      </w:r>
    </w:p>
    <w:p>
      <w:pPr>
        <w:spacing w:after="100" w:line="300"/>
        <w:ind w:left="200"/>
        <w:jc w:val="both"/>
      </w:pPr>
      <w:r>
        <w:rPr>
          <w:b/>
          <w:bCs/>
          <w:color w:val="B8860B"/>
          <w:sz w:val="22"/>
          <w:szCs w:val="22"/>
        </w:rPr>
        <w:t xml:space="preserve">Repurchase Date — </w:t>
      </w:r>
      <w:r>
        <w:rPr>
          <w:color w:val="1F2937"/>
          <w:sz w:val="22"/>
          <w:szCs w:val="22"/>
        </w:rPr>
        <w:t xml:space="preserve">Within 60 days of the change of control event, obligor must repurchase all tendered bonds</w:t>
      </w:r>
    </w:p>
    <w:p>
      <w:pPr>
        <w:pStyle w:val="Heading3"/>
        <w:spacing w:after="120" w:before="240"/>
      </w:pPr>
      <w:r>
        <w:rPr>
          <w:b/>
          <w:bCs/>
          <w:color w:val="374151"/>
          <w:sz w:val="24"/>
          <w:szCs w:val="24"/>
        </w:rPr>
        <w:t xml:space="preserve">8A.6 — Tax Event Optional Redemption</w:t>
      </w:r>
    </w:p>
    <w:p>
      <w:pPr>
        <w:spacing w:after="100" w:line="300"/>
        <w:ind w:left="200"/>
        <w:jc w:val="both"/>
      </w:pPr>
      <w:r>
        <w:rPr>
          <w:b/>
          <w:bCs/>
          <w:color w:val="B8860B"/>
          <w:sz w:val="22"/>
          <w:szCs w:val="22"/>
        </w:rPr>
        <w:t xml:space="preserve">Trigger — </w:t>
      </w:r>
      <w:r>
        <w:rPr>
          <w:color w:val="1F2937"/>
          <w:sz w:val="22"/>
          <w:szCs w:val="22"/>
        </w:rPr>
        <w:t xml:space="preserve">Change in U.S. federal income tax law that materially adversely affects the bond's tax treatment to the obligor or the bondholders</w:t>
      </w:r>
    </w:p>
    <w:p>
      <w:pPr>
        <w:spacing w:after="100" w:line="300"/>
        <w:ind w:left="200"/>
        <w:jc w:val="both"/>
      </w:pPr>
      <w:r>
        <w:rPr>
          <w:b/>
          <w:bCs/>
          <w:color w:val="B8860B"/>
          <w:sz w:val="22"/>
          <w:szCs w:val="22"/>
        </w:rPr>
        <w:t xml:space="preserve">Redemption Price — </w:t>
      </w:r>
      <w:r>
        <w:rPr>
          <w:color w:val="1F2937"/>
          <w:sz w:val="22"/>
          <w:szCs w:val="22"/>
        </w:rPr>
        <w:t xml:space="preserve">Par plus accrued interest</w:t>
      </w:r>
    </w:p>
    <w:p>
      <w:pPr>
        <w:spacing w:after="100" w:line="300"/>
        <w:ind w:left="200"/>
        <w:jc w:val="both"/>
      </w:pPr>
      <w:r>
        <w:rPr>
          <w:b/>
          <w:bCs/>
          <w:color w:val="B8860B"/>
          <w:sz w:val="22"/>
          <w:szCs w:val="22"/>
        </w:rPr>
        <w:t xml:space="preserve">Notice Period — </w:t>
      </w:r>
      <w:r>
        <w:rPr>
          <w:color w:val="1F2937"/>
          <w:sz w:val="22"/>
          <w:szCs w:val="22"/>
        </w:rPr>
        <w:t xml:space="preserve">30-60 days</w:t>
      </w:r>
    </w:p>
    <w:p>
      <w:pPr>
        <w:spacing w:after="100" w:line="300"/>
        <w:ind w:left="200"/>
        <w:jc w:val="both"/>
      </w:pPr>
      <w:r>
        <w:rPr>
          <w:b/>
          <w:bCs/>
          <w:color w:val="B8860B"/>
          <w:sz w:val="22"/>
          <w:szCs w:val="22"/>
        </w:rPr>
        <w:t xml:space="preserve">Application — </w:t>
      </w:r>
      <w:r>
        <w:rPr>
          <w:color w:val="1F2937"/>
          <w:sz w:val="22"/>
          <w:szCs w:val="22"/>
        </w:rPr>
        <w:t xml:space="preserve">Optional at the obligor's election; the obligor is not required to redeem upon a tax event</w:t>
      </w:r>
    </w:p>
    <w:p>
      <w:pPr>
        <w:pStyle w:val="Heading3"/>
        <w:spacing w:after="120" w:before="240"/>
      </w:pPr>
      <w:r>
        <w:rPr>
          <w:b/>
          <w:bCs/>
          <w:color w:val="374151"/>
          <w:sz w:val="24"/>
          <w:szCs w:val="24"/>
        </w:rPr>
        <w:t xml:space="preserve">8A.7 — Defeasance Provisions</w:t>
      </w:r>
    </w:p>
    <w:p>
      <w:pPr>
        <w:spacing w:after="100" w:line="300"/>
        <w:ind w:left="200"/>
        <w:jc w:val="both"/>
      </w:pPr>
      <w:r>
        <w:rPr>
          <w:b/>
          <w:bCs/>
          <w:color w:val="B8860B"/>
          <w:sz w:val="22"/>
          <w:szCs w:val="22"/>
        </w:rPr>
        <w:t xml:space="preserve">Legal Defeasance — </w:t>
      </w:r>
      <w:r>
        <w:rPr>
          <w:color w:val="1F2937"/>
          <w:sz w:val="22"/>
          <w:szCs w:val="22"/>
        </w:rPr>
        <w:t xml:space="preserve">The obligor may legally defease the bonds by depositing with the trustee government securities sufficient to pay all remaining debt service through maturity (or through the first call date if defeasance is to that date). Legal defeasance terminates all covenants except payment obligations and discharges the obligor's other obligations under the indenture.</w:t>
      </w:r>
    </w:p>
    <w:p>
      <w:pPr>
        <w:spacing w:after="100" w:line="300"/>
        <w:ind w:left="200"/>
        <w:jc w:val="both"/>
      </w:pPr>
      <w:r>
        <w:rPr>
          <w:b/>
          <w:bCs/>
          <w:color w:val="B8860B"/>
          <w:sz w:val="22"/>
          <w:szCs w:val="22"/>
        </w:rPr>
        <w:t xml:space="preserve">Covenant Defeasance — </w:t>
      </w:r>
      <w:r>
        <w:rPr>
          <w:color w:val="1F2937"/>
          <w:sz w:val="22"/>
          <w:szCs w:val="22"/>
        </w:rPr>
        <w:t xml:space="preserve">The obligor may release itself from the indenture's covenants (but not from the payment obligations) by depositing securities sufficient to cover remaining debt service. Covenant defeasance is rare in practice; legal defeasance is the standard mechanism.</w:t>
      </w:r>
    </w:p>
    <w:p>
      <w:pPr>
        <w:spacing w:after="100" w:line="300"/>
        <w:ind w:left="200"/>
        <w:jc w:val="both"/>
      </w:pPr>
      <w:r>
        <w:rPr>
          <w:b/>
          <w:bCs/>
          <w:color w:val="B8860B"/>
          <w:sz w:val="22"/>
          <w:szCs w:val="22"/>
        </w:rPr>
        <w:t xml:space="preserve">Verification Required — </w:t>
      </w:r>
      <w:r>
        <w:rPr>
          <w:color w:val="1F2937"/>
          <w:sz w:val="22"/>
          <w:szCs w:val="22"/>
        </w:rPr>
        <w:t xml:space="preserve">Defeasance requires verification by an independent CPA firm that the securities deposited are sufficient to cover all remaining debt service. Verification by Robert Thomas CPA, Causey Demgen &amp; Moore, or another recognized verification agent.</w:t>
      </w:r>
    </w:p>
    <w:p>
      <w:pPr>
        <w:spacing w:after="100" w:line="300"/>
        <w:ind w:left="200"/>
        <w:jc w:val="both"/>
      </w:pPr>
      <w:r>
        <w:rPr>
          <w:b/>
          <w:bCs/>
          <w:color w:val="B8860B"/>
          <w:sz w:val="22"/>
          <w:szCs w:val="22"/>
        </w:rPr>
        <w:t xml:space="preserve">Tax Opinion Required — </w:t>
      </w:r>
      <w:r>
        <w:rPr>
          <w:color w:val="1F2937"/>
          <w:sz w:val="22"/>
          <w:szCs w:val="22"/>
        </w:rPr>
        <w:t xml:space="preserve">Defeasance requires a tax opinion that the defeasance will not be treated as a taxable exchange to bondholders. Standard practice.</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8. The Tech Stack Layer — Platform Architecture for M&amp;A Acquisition Bonds</w:t>
      </w:r>
    </w:p>
    <w:p>
      <w:pPr>
        <w:spacing w:after="140" w:line="320"/>
        <w:jc w:val="both"/>
      </w:pPr>
      <w:r>
        <w:rPr>
          <w:color w:val="1F2937"/>
          <w:sz w:val="22"/>
          <w:szCs w:val="22"/>
        </w:rPr>
        <w:t xml:space="preserve">The M&amp;A acquisition bond use case is its own workbench in the Nest platform, with its own intake forms, document templates, data feeds, and workflow logic. The workbench shares underlying platform infrastructure with the other use case workbenches (construction, working capital, equipment, real estate acquisition) — Bernard, the offer/counteroffer module, the marketplace layer, the agent workforce — but the workflow is calibrated to M&amp;A specifics.</w:t>
      </w:r>
    </w:p>
    <w:p>
      <w:pPr>
        <w:pStyle w:val="Heading3"/>
        <w:spacing w:after="120" w:before="240"/>
      </w:pPr>
      <w:r>
        <w:rPr>
          <w:b/>
          <w:bCs/>
          <w:color w:val="374151"/>
          <w:sz w:val="24"/>
          <w:szCs w:val="24"/>
        </w:rPr>
        <w:t xml:space="preserve">8.1 The M&amp;A Acquisition Bond Workbench</w:t>
      </w:r>
    </w:p>
    <w:p>
      <w:pPr>
        <w:spacing w:after="140" w:line="320"/>
        <w:jc w:val="both"/>
      </w:pPr>
      <w:r>
        <w:rPr>
          <w:color w:val="1F2937"/>
          <w:sz w:val="22"/>
          <w:szCs w:val="22"/>
        </w:rPr>
        <w:t xml:space="preserve">The workbench is the platform interface for managing M&amp;A acquisition bond deals. Tabs within the workbench:</w:t>
      </w:r>
    </w:p>
    <w:p>
      <w:pPr>
        <w:spacing w:after="80" w:before="180"/>
      </w:pPr>
      <w:r>
        <w:rPr>
          <w:b/>
          <w:bCs/>
          <w:i/>
          <w:iCs/>
          <w:color w:val="374151"/>
          <w:sz w:val="22"/>
          <w:szCs w:val="22"/>
        </w:rPr>
        <w:t xml:space="preserve">Pipeline Tab</w:t>
      </w:r>
    </w:p>
    <w:p>
      <w:pPr>
        <w:pStyle w:val="ListParagraph"/>
        <w:numPr>
          <w:ilvl w:val="0"/>
          <w:numId w:val="2"/>
        </w:numPr>
        <w:spacing w:after="80" w:line="300"/>
      </w:pPr>
      <w:r>
        <w:rPr>
          <w:color w:val="1F2937"/>
          <w:sz w:val="22"/>
          <w:szCs w:val="22"/>
        </w:rPr>
        <w:t xml:space="preserve">Active M&amp;A acquisition bond deals by stage (intake, LOI, diligence, documentation, closing)</w:t>
      </w:r>
    </w:p>
    <w:p>
      <w:pPr>
        <w:pStyle w:val="ListParagraph"/>
        <w:numPr>
          <w:ilvl w:val="0"/>
          <w:numId w:val="2"/>
        </w:numPr>
        <w:spacing w:after="80" w:line="300"/>
      </w:pPr>
      <w:r>
        <w:rPr>
          <w:color w:val="1F2937"/>
          <w:sz w:val="22"/>
          <w:szCs w:val="22"/>
        </w:rPr>
        <w:t xml:space="preserve">Inbound deal flow from BD partner referrals and direct inbound</w:t>
      </w:r>
    </w:p>
    <w:p>
      <w:pPr>
        <w:pStyle w:val="ListParagraph"/>
        <w:numPr>
          <w:ilvl w:val="0"/>
          <w:numId w:val="2"/>
        </w:numPr>
        <w:spacing w:after="80" w:line="300"/>
      </w:pPr>
      <w:r>
        <w:rPr>
          <w:color w:val="1F2937"/>
          <w:sz w:val="22"/>
          <w:szCs w:val="22"/>
        </w:rPr>
        <w:t xml:space="preserve">Outbound opportunities surfaced by Eagle Eye's M&amp;A signaling agent</w:t>
      </w:r>
    </w:p>
    <w:p>
      <w:pPr>
        <w:pStyle w:val="ListParagraph"/>
        <w:numPr>
          <w:ilvl w:val="0"/>
          <w:numId w:val="2"/>
        </w:numPr>
        <w:spacing w:after="80" w:line="300"/>
      </w:pPr>
      <w:r>
        <w:rPr>
          <w:color w:val="1F2937"/>
          <w:sz w:val="22"/>
          <w:szCs w:val="22"/>
        </w:rPr>
        <w:t xml:space="preserve">Pipeline forecasting and conversion analytics</w:t>
      </w:r>
    </w:p>
    <w:p>
      <w:pPr>
        <w:spacing w:after="80" w:before="180"/>
      </w:pPr>
      <w:r>
        <w:rPr>
          <w:b/>
          <w:bCs/>
          <w:i/>
          <w:iCs/>
          <w:color w:val="374151"/>
          <w:sz w:val="22"/>
          <w:szCs w:val="22"/>
        </w:rPr>
        <w:t xml:space="preserve">Deal Tab (per active deal)</w:t>
      </w:r>
    </w:p>
    <w:p>
      <w:pPr>
        <w:pStyle w:val="ListParagraph"/>
        <w:numPr>
          <w:ilvl w:val="0"/>
          <w:numId w:val="2"/>
        </w:numPr>
        <w:spacing w:after="80" w:line="300"/>
      </w:pPr>
      <w:r>
        <w:rPr>
          <w:color w:val="1F2937"/>
          <w:sz w:val="22"/>
          <w:szCs w:val="22"/>
        </w:rPr>
        <w:t xml:space="preserve">Acquirer profile and sponsor information</w:t>
      </w:r>
    </w:p>
    <w:p>
      <w:pPr>
        <w:pStyle w:val="ListParagraph"/>
        <w:numPr>
          <w:ilvl w:val="0"/>
          <w:numId w:val="2"/>
        </w:numPr>
        <w:spacing w:after="80" w:line="300"/>
      </w:pPr>
      <w:r>
        <w:rPr>
          <w:color w:val="1F2937"/>
          <w:sz w:val="22"/>
          <w:szCs w:val="22"/>
        </w:rPr>
        <w:t xml:space="preserve">Target profile and diligence status</w:t>
      </w:r>
    </w:p>
    <w:p>
      <w:pPr>
        <w:pStyle w:val="ListParagraph"/>
        <w:numPr>
          <w:ilvl w:val="0"/>
          <w:numId w:val="2"/>
        </w:numPr>
        <w:spacing w:after="80" w:line="300"/>
      </w:pPr>
      <w:r>
        <w:rPr>
          <w:color w:val="1F2937"/>
          <w:sz w:val="22"/>
          <w:szCs w:val="22"/>
        </w:rPr>
        <w:t xml:space="preserve">Capital structure and sources/uses</w:t>
      </w:r>
    </w:p>
    <w:p>
      <w:pPr>
        <w:pStyle w:val="ListParagraph"/>
        <w:numPr>
          <w:ilvl w:val="0"/>
          <w:numId w:val="2"/>
        </w:numPr>
        <w:spacing w:after="80" w:line="300"/>
      </w:pPr>
      <w:r>
        <w:rPr>
          <w:color w:val="1F2937"/>
          <w:sz w:val="22"/>
          <w:szCs w:val="22"/>
        </w:rPr>
        <w:t xml:space="preserve">Bond structure and key terms</w:t>
      </w:r>
    </w:p>
    <w:p>
      <w:pPr>
        <w:pStyle w:val="ListParagraph"/>
        <w:numPr>
          <w:ilvl w:val="0"/>
          <w:numId w:val="2"/>
        </w:numPr>
        <w:spacing w:after="80" w:line="300"/>
      </w:pPr>
      <w:r>
        <w:rPr>
          <w:color w:val="1F2937"/>
          <w:sz w:val="22"/>
          <w:szCs w:val="22"/>
        </w:rPr>
        <w:t xml:space="preserve">Document status across the deal</w:t>
      </w:r>
    </w:p>
    <w:p>
      <w:pPr>
        <w:pStyle w:val="ListParagraph"/>
        <w:numPr>
          <w:ilvl w:val="0"/>
          <w:numId w:val="2"/>
        </w:numPr>
        <w:spacing w:after="80" w:line="300"/>
      </w:pPr>
      <w:r>
        <w:rPr>
          <w:color w:val="1F2937"/>
          <w:sz w:val="22"/>
          <w:szCs w:val="22"/>
        </w:rPr>
        <w:t xml:space="preserve">Timeline and milestones</w:t>
      </w:r>
    </w:p>
    <w:p>
      <w:pPr>
        <w:pStyle w:val="ListParagraph"/>
        <w:numPr>
          <w:ilvl w:val="0"/>
          <w:numId w:val="2"/>
        </w:numPr>
        <w:spacing w:after="80" w:line="300"/>
      </w:pPr>
      <w:r>
        <w:rPr>
          <w:color w:val="1F2937"/>
          <w:sz w:val="22"/>
          <w:szCs w:val="22"/>
        </w:rPr>
        <w:t xml:space="preserve">Counterparty interactions log</w:t>
      </w:r>
    </w:p>
    <w:p>
      <w:pPr>
        <w:spacing w:after="80" w:before="180"/>
      </w:pPr>
      <w:r>
        <w:rPr>
          <w:b/>
          <w:bCs/>
          <w:i/>
          <w:iCs/>
          <w:color w:val="374151"/>
          <w:sz w:val="22"/>
          <w:szCs w:val="22"/>
        </w:rPr>
        <w:t xml:space="preserve">Intake Tab</w:t>
      </w:r>
    </w:p>
    <w:p>
      <w:pPr>
        <w:pStyle w:val="ListParagraph"/>
        <w:numPr>
          <w:ilvl w:val="0"/>
          <w:numId w:val="2"/>
        </w:numPr>
        <w:spacing w:after="80" w:line="300"/>
      </w:pPr>
      <w:r>
        <w:rPr>
          <w:color w:val="1F2937"/>
          <w:sz w:val="22"/>
          <w:szCs w:val="22"/>
        </w:rPr>
        <w:t xml:space="preserve">Acquirer Readiness Checklist completion</w:t>
      </w:r>
    </w:p>
    <w:p>
      <w:pPr>
        <w:pStyle w:val="ListParagraph"/>
        <w:numPr>
          <w:ilvl w:val="0"/>
          <w:numId w:val="2"/>
        </w:numPr>
        <w:spacing w:after="80" w:line="300"/>
      </w:pPr>
      <w:r>
        <w:rPr>
          <w:color w:val="1F2937"/>
          <w:sz w:val="22"/>
          <w:szCs w:val="22"/>
        </w:rPr>
        <w:t xml:space="preserve">Document intake (acquirer-side, target-side, transaction, capital structure, bond structure inputs)</w:t>
      </w:r>
    </w:p>
    <w:p>
      <w:pPr>
        <w:pStyle w:val="ListParagraph"/>
        <w:numPr>
          <w:ilvl w:val="0"/>
          <w:numId w:val="2"/>
        </w:numPr>
        <w:spacing w:after="80" w:line="300"/>
      </w:pPr>
      <w:r>
        <w:rPr>
          <w:color w:val="1F2937"/>
          <w:sz w:val="22"/>
          <w:szCs w:val="22"/>
        </w:rPr>
        <w:t xml:space="preserve">Initial credit assessment</w:t>
      </w:r>
    </w:p>
    <w:p>
      <w:pPr>
        <w:pStyle w:val="ListParagraph"/>
        <w:numPr>
          <w:ilvl w:val="0"/>
          <w:numId w:val="2"/>
        </w:numPr>
        <w:spacing w:after="80" w:line="300"/>
      </w:pPr>
      <w:r>
        <w:rPr>
          <w:color w:val="1F2937"/>
          <w:sz w:val="22"/>
          <w:szCs w:val="22"/>
        </w:rPr>
        <w:t xml:space="preserve">Engagement letter status</w:t>
      </w:r>
    </w:p>
    <w:p>
      <w:pPr>
        <w:spacing w:after="80" w:before="180"/>
      </w:pPr>
      <w:r>
        <w:rPr>
          <w:b/>
          <w:bCs/>
          <w:i/>
          <w:iCs/>
          <w:color w:val="374151"/>
          <w:sz w:val="22"/>
          <w:szCs w:val="22"/>
        </w:rPr>
        <w:t xml:space="preserve">Structuring Tab</w:t>
      </w:r>
    </w:p>
    <w:p>
      <w:pPr>
        <w:pStyle w:val="ListParagraph"/>
        <w:numPr>
          <w:ilvl w:val="0"/>
          <w:numId w:val="2"/>
        </w:numPr>
        <w:spacing w:after="80" w:line="300"/>
      </w:pPr>
      <w:r>
        <w:rPr>
          <w:color w:val="1F2937"/>
          <w:sz w:val="22"/>
          <w:szCs w:val="22"/>
        </w:rPr>
        <w:t xml:space="preserve">Bond structure recommendation engine</w:t>
      </w:r>
    </w:p>
    <w:p>
      <w:pPr>
        <w:pStyle w:val="ListParagraph"/>
        <w:numPr>
          <w:ilvl w:val="0"/>
          <w:numId w:val="2"/>
        </w:numPr>
        <w:spacing w:after="80" w:line="300"/>
      </w:pPr>
      <w:r>
        <w:rPr>
          <w:color w:val="1F2937"/>
          <w:sz w:val="22"/>
          <w:szCs w:val="22"/>
        </w:rPr>
        <w:t xml:space="preserve">Sizing math and capital structure analysis</w:t>
      </w:r>
    </w:p>
    <w:p>
      <w:pPr>
        <w:pStyle w:val="ListParagraph"/>
        <w:numPr>
          <w:ilvl w:val="0"/>
          <w:numId w:val="2"/>
        </w:numPr>
        <w:spacing w:after="80" w:line="300"/>
      </w:pPr>
      <w:r>
        <w:rPr>
          <w:color w:val="1F2937"/>
          <w:sz w:val="22"/>
          <w:szCs w:val="22"/>
        </w:rPr>
        <w:t xml:space="preserve">Sensitivity analysis (EBITDA, multiple, leverage, integration, exit)</w:t>
      </w:r>
    </w:p>
    <w:p>
      <w:pPr>
        <w:pStyle w:val="ListParagraph"/>
        <w:numPr>
          <w:ilvl w:val="0"/>
          <w:numId w:val="2"/>
        </w:numPr>
        <w:spacing w:after="80" w:line="300"/>
      </w:pPr>
      <w:r>
        <w:rPr>
          <w:color w:val="1F2937"/>
          <w:sz w:val="22"/>
          <w:szCs w:val="22"/>
        </w:rPr>
        <w:t xml:space="preserve">Comparable transaction analysis</w:t>
      </w:r>
    </w:p>
    <w:p>
      <w:pPr>
        <w:pStyle w:val="ListParagraph"/>
        <w:numPr>
          <w:ilvl w:val="0"/>
          <w:numId w:val="2"/>
        </w:numPr>
        <w:spacing w:after="80" w:line="300"/>
      </w:pPr>
      <w:r>
        <w:rPr>
          <w:color w:val="1F2937"/>
          <w:sz w:val="22"/>
          <w:szCs w:val="22"/>
        </w:rPr>
        <w:t xml:space="preserve">Sector multiple calibration</w:t>
      </w:r>
    </w:p>
    <w:p>
      <w:pPr>
        <w:pStyle w:val="ListParagraph"/>
        <w:numPr>
          <w:ilvl w:val="0"/>
          <w:numId w:val="2"/>
        </w:numPr>
        <w:spacing w:after="80" w:line="300"/>
      </w:pPr>
      <w:r>
        <w:rPr>
          <w:color w:val="1F2937"/>
          <w:sz w:val="22"/>
          <w:szCs w:val="22"/>
        </w:rPr>
        <w:t xml:space="preserve">Rating prediction via Moody's and S&amp;P Mirror Agents</w:t>
      </w:r>
    </w:p>
    <w:p>
      <w:pPr>
        <w:spacing w:after="80" w:before="180"/>
      </w:pPr>
      <w:r>
        <w:rPr>
          <w:b/>
          <w:bCs/>
          <w:i/>
          <w:iCs/>
          <w:color w:val="374151"/>
          <w:sz w:val="22"/>
          <w:szCs w:val="22"/>
        </w:rPr>
        <w:t xml:space="preserve">Documents Tab</w:t>
      </w:r>
    </w:p>
    <w:p>
      <w:pPr>
        <w:pStyle w:val="ListParagraph"/>
        <w:numPr>
          <w:ilvl w:val="0"/>
          <w:numId w:val="2"/>
        </w:numPr>
        <w:spacing w:after="80" w:line="300"/>
      </w:pPr>
      <w:r>
        <w:rPr>
          <w:color w:val="1F2937"/>
          <w:sz w:val="22"/>
          <w:szCs w:val="22"/>
        </w:rPr>
        <w:t xml:space="preserve">Indenture draft with M&amp;A-specific provisions</w:t>
      </w:r>
    </w:p>
    <w:p>
      <w:pPr>
        <w:pStyle w:val="ListParagraph"/>
        <w:numPr>
          <w:ilvl w:val="0"/>
          <w:numId w:val="2"/>
        </w:numPr>
        <w:spacing w:after="80" w:line="300"/>
      </w:pPr>
      <w:r>
        <w:rPr>
          <w:color w:val="1F2937"/>
          <w:sz w:val="22"/>
          <w:szCs w:val="22"/>
        </w:rPr>
        <w:t xml:space="preserve">Bond purchase agreement</w:t>
      </w:r>
    </w:p>
    <w:p>
      <w:pPr>
        <w:pStyle w:val="ListParagraph"/>
        <w:numPr>
          <w:ilvl w:val="0"/>
          <w:numId w:val="2"/>
        </w:numPr>
        <w:spacing w:after="80" w:line="300"/>
      </w:pPr>
      <w:r>
        <w:rPr>
          <w:color w:val="1F2937"/>
          <w:sz w:val="22"/>
          <w:szCs w:val="22"/>
        </w:rPr>
        <w:t xml:space="preserve">Commitment letter</w:t>
      </w:r>
    </w:p>
    <w:p>
      <w:pPr>
        <w:pStyle w:val="ListParagraph"/>
        <w:numPr>
          <w:ilvl w:val="0"/>
          <w:numId w:val="2"/>
        </w:numPr>
        <w:spacing w:after="80" w:line="300"/>
      </w:pPr>
      <w:r>
        <w:rPr>
          <w:color w:val="1F2937"/>
          <w:sz w:val="22"/>
          <w:szCs w:val="22"/>
        </w:rPr>
        <w:t xml:space="preserve">Sources and uses schedule</w:t>
      </w:r>
    </w:p>
    <w:p>
      <w:pPr>
        <w:pStyle w:val="ListParagraph"/>
        <w:numPr>
          <w:ilvl w:val="0"/>
          <w:numId w:val="2"/>
        </w:numPr>
        <w:spacing w:after="80" w:line="300"/>
      </w:pPr>
      <w:r>
        <w:rPr>
          <w:color w:val="1F2937"/>
          <w:sz w:val="22"/>
          <w:szCs w:val="22"/>
        </w:rPr>
        <w:t xml:space="preserve">LC documents (where applicable)</w:t>
      </w:r>
    </w:p>
    <w:p>
      <w:pPr>
        <w:pStyle w:val="ListParagraph"/>
        <w:numPr>
          <w:ilvl w:val="0"/>
          <w:numId w:val="2"/>
        </w:numPr>
        <w:spacing w:after="80" w:line="300"/>
      </w:pPr>
      <w:r>
        <w:rPr>
          <w:color w:val="1F2937"/>
          <w:sz w:val="22"/>
          <w:szCs w:val="22"/>
        </w:rPr>
        <w:t xml:space="preserve">Sponsor support documents (where applicable)</w:t>
      </w:r>
    </w:p>
    <w:p>
      <w:pPr>
        <w:pStyle w:val="ListParagraph"/>
        <w:numPr>
          <w:ilvl w:val="0"/>
          <w:numId w:val="2"/>
        </w:numPr>
        <w:spacing w:after="80" w:line="300"/>
      </w:pPr>
      <w:r>
        <w:rPr>
          <w:color w:val="1F2937"/>
          <w:sz w:val="22"/>
          <w:szCs w:val="22"/>
        </w:rPr>
        <w:t xml:space="preserve">Closing checklist</w:t>
      </w:r>
    </w:p>
    <w:p>
      <w:pPr>
        <w:spacing w:after="80" w:before="180"/>
      </w:pPr>
      <w:r>
        <w:rPr>
          <w:b/>
          <w:bCs/>
          <w:i/>
          <w:iCs/>
          <w:color w:val="374151"/>
          <w:sz w:val="22"/>
          <w:szCs w:val="22"/>
        </w:rPr>
        <w:t xml:space="preserve">Placement Tab</w:t>
      </w:r>
    </w:p>
    <w:p>
      <w:pPr>
        <w:pStyle w:val="ListParagraph"/>
        <w:numPr>
          <w:ilvl w:val="0"/>
          <w:numId w:val="2"/>
        </w:numPr>
        <w:spacing w:after="80" w:line="300"/>
      </w:pPr>
      <w:r>
        <w:rPr>
          <w:color w:val="1F2937"/>
          <w:sz w:val="22"/>
          <w:szCs w:val="22"/>
        </w:rPr>
        <w:t xml:space="preserve">Buyer universe construction (Night Vision M&amp;A buyer pool intelligence)</w:t>
      </w:r>
    </w:p>
    <w:p>
      <w:pPr>
        <w:pStyle w:val="ListParagraph"/>
        <w:numPr>
          <w:ilvl w:val="0"/>
          <w:numId w:val="2"/>
        </w:numPr>
        <w:spacing w:after="80" w:line="300"/>
      </w:pPr>
      <w:r>
        <w:rPr>
          <w:color w:val="1F2937"/>
          <w:sz w:val="22"/>
          <w:szCs w:val="22"/>
        </w:rPr>
        <w:t xml:space="preserve">Marketing materials</w:t>
      </w:r>
    </w:p>
    <w:p>
      <w:pPr>
        <w:pStyle w:val="ListParagraph"/>
        <w:numPr>
          <w:ilvl w:val="0"/>
          <w:numId w:val="2"/>
        </w:numPr>
        <w:spacing w:after="80" w:line="300"/>
      </w:pPr>
      <w:r>
        <w:rPr>
          <w:color w:val="1F2937"/>
          <w:sz w:val="22"/>
          <w:szCs w:val="22"/>
        </w:rPr>
        <w:t xml:space="preserve">Pricing analysis</w:t>
      </w:r>
    </w:p>
    <w:p>
      <w:pPr>
        <w:pStyle w:val="ListParagraph"/>
        <w:numPr>
          <w:ilvl w:val="0"/>
          <w:numId w:val="2"/>
        </w:numPr>
        <w:spacing w:after="80" w:line="300"/>
      </w:pPr>
      <w:r>
        <w:rPr>
          <w:color w:val="1F2937"/>
          <w:sz w:val="22"/>
          <w:szCs w:val="22"/>
        </w:rPr>
        <w:t xml:space="preserve">Book-building status</w:t>
      </w:r>
    </w:p>
    <w:p>
      <w:pPr>
        <w:pStyle w:val="ListParagraph"/>
        <w:numPr>
          <w:ilvl w:val="0"/>
          <w:numId w:val="2"/>
        </w:numPr>
        <w:spacing w:after="80" w:line="300"/>
      </w:pPr>
      <w:r>
        <w:rPr>
          <w:color w:val="1F2937"/>
          <w:sz w:val="22"/>
          <w:szCs w:val="22"/>
        </w:rPr>
        <w:t xml:space="preserve">Allocation tracking</w:t>
      </w:r>
    </w:p>
    <w:p>
      <w:pPr>
        <w:spacing w:after="80" w:before="180"/>
      </w:pPr>
      <w:r>
        <w:rPr>
          <w:b/>
          <w:bCs/>
          <w:i/>
          <w:iCs/>
          <w:color w:val="374151"/>
          <w:sz w:val="22"/>
          <w:szCs w:val="22"/>
        </w:rPr>
        <w:t xml:space="preserve">Closing Tab</w:t>
      </w:r>
    </w:p>
    <w:p>
      <w:pPr>
        <w:pStyle w:val="ListParagraph"/>
        <w:numPr>
          <w:ilvl w:val="0"/>
          <w:numId w:val="2"/>
        </w:numPr>
        <w:spacing w:after="80" w:line="300"/>
      </w:pPr>
      <w:r>
        <w:rPr>
          <w:color w:val="1F2937"/>
          <w:sz w:val="22"/>
          <w:szCs w:val="22"/>
        </w:rPr>
        <w:t xml:space="preserve">Closing condition tracker</w:t>
      </w:r>
    </w:p>
    <w:p>
      <w:pPr>
        <w:pStyle w:val="ListParagraph"/>
        <w:numPr>
          <w:ilvl w:val="0"/>
          <w:numId w:val="2"/>
        </w:numPr>
        <w:spacing w:after="80" w:line="300"/>
      </w:pPr>
      <w:r>
        <w:rPr>
          <w:color w:val="1F2937"/>
          <w:sz w:val="22"/>
          <w:szCs w:val="22"/>
        </w:rPr>
        <w:t xml:space="preserve">Definitive agreement coordination</w:t>
      </w:r>
    </w:p>
    <w:p>
      <w:pPr>
        <w:pStyle w:val="ListParagraph"/>
        <w:numPr>
          <w:ilvl w:val="0"/>
          <w:numId w:val="2"/>
        </w:numPr>
        <w:spacing w:after="80" w:line="300"/>
      </w:pPr>
      <w:r>
        <w:rPr>
          <w:color w:val="1F2937"/>
          <w:sz w:val="22"/>
          <w:szCs w:val="22"/>
        </w:rPr>
        <w:t xml:space="preserve">Funds flow management</w:t>
      </w:r>
    </w:p>
    <w:p>
      <w:pPr>
        <w:pStyle w:val="ListParagraph"/>
        <w:numPr>
          <w:ilvl w:val="0"/>
          <w:numId w:val="2"/>
        </w:numPr>
        <w:spacing w:after="80" w:line="300"/>
      </w:pPr>
      <w:r>
        <w:rPr>
          <w:color w:val="1F2937"/>
          <w:sz w:val="22"/>
          <w:szCs w:val="22"/>
        </w:rPr>
        <w:t xml:space="preserve">Trustee coordination</w:t>
      </w:r>
    </w:p>
    <w:p>
      <w:pPr>
        <w:pStyle w:val="ListParagraph"/>
        <w:numPr>
          <w:ilvl w:val="0"/>
          <w:numId w:val="2"/>
        </w:numPr>
        <w:spacing w:after="80" w:line="300"/>
      </w:pPr>
      <w:r>
        <w:rPr>
          <w:color w:val="1F2937"/>
          <w:sz w:val="22"/>
          <w:szCs w:val="22"/>
        </w:rPr>
        <w:t xml:space="preserve">Final closing book assembly</w:t>
      </w:r>
    </w:p>
    <w:p>
      <w:pPr>
        <w:spacing w:after="80" w:before="180"/>
      </w:pPr>
      <w:r>
        <w:rPr>
          <w:b/>
          <w:bCs/>
          <w:i/>
          <w:iCs/>
          <w:color w:val="374151"/>
          <w:sz w:val="22"/>
          <w:szCs w:val="22"/>
        </w:rPr>
        <w:t xml:space="preserve">Post-Close Tab (Handoff to Operations and Surveillance)</w:t>
      </w:r>
    </w:p>
    <w:p>
      <w:pPr>
        <w:pStyle w:val="ListParagraph"/>
        <w:numPr>
          <w:ilvl w:val="0"/>
          <w:numId w:val="2"/>
        </w:numPr>
        <w:spacing w:after="80" w:line="300"/>
      </w:pPr>
      <w:r>
        <w:rPr>
          <w:color w:val="1F2937"/>
          <w:sz w:val="22"/>
          <w:szCs w:val="22"/>
        </w:rPr>
        <w:t xml:space="preserve">Integration period monitoring</w:t>
      </w:r>
    </w:p>
    <w:p>
      <w:pPr>
        <w:pStyle w:val="ListParagraph"/>
        <w:numPr>
          <w:ilvl w:val="0"/>
          <w:numId w:val="2"/>
        </w:numPr>
        <w:spacing w:after="80" w:line="300"/>
      </w:pPr>
      <w:r>
        <w:rPr>
          <w:color w:val="1F2937"/>
          <w:sz w:val="22"/>
          <w:szCs w:val="22"/>
        </w:rPr>
        <w:t xml:space="preserve">Covenant testing tracker</w:t>
      </w:r>
    </w:p>
    <w:p>
      <w:pPr>
        <w:pStyle w:val="ListParagraph"/>
        <w:numPr>
          <w:ilvl w:val="0"/>
          <w:numId w:val="2"/>
        </w:numPr>
        <w:spacing w:after="80" w:line="300"/>
      </w:pPr>
      <w:r>
        <w:rPr>
          <w:color w:val="1F2937"/>
          <w:sz w:val="22"/>
          <w:szCs w:val="22"/>
        </w:rPr>
        <w:t xml:space="preserve">Reserve balances</w:t>
      </w:r>
    </w:p>
    <w:p>
      <w:pPr>
        <w:pStyle w:val="ListParagraph"/>
        <w:numPr>
          <w:ilvl w:val="0"/>
          <w:numId w:val="2"/>
        </w:numPr>
        <w:spacing w:after="80" w:line="300"/>
      </w:pPr>
      <w:r>
        <w:rPr>
          <w:color w:val="1F2937"/>
          <w:sz w:val="22"/>
          <w:szCs w:val="22"/>
        </w:rPr>
        <w:t xml:space="preserve">Material event monitoring</w:t>
      </w:r>
    </w:p>
    <w:p>
      <w:pPr>
        <w:pStyle w:val="ListParagraph"/>
        <w:numPr>
          <w:ilvl w:val="0"/>
          <w:numId w:val="2"/>
        </w:numPr>
        <w:spacing w:after="80" w:line="300"/>
      </w:pPr>
      <w:r>
        <w:rPr>
          <w:color w:val="1F2937"/>
          <w:sz w:val="22"/>
          <w:szCs w:val="22"/>
        </w:rPr>
        <w:t xml:space="preserve">Add-on financing opportunity tracking</w:t>
      </w:r>
    </w:p>
    <w:p>
      <w:pPr>
        <w:pStyle w:val="Heading3"/>
        <w:spacing w:after="120" w:before="240"/>
      </w:pPr>
      <w:r>
        <w:rPr>
          <w:b/>
          <w:bCs/>
          <w:color w:val="374151"/>
          <w:sz w:val="24"/>
          <w:szCs w:val="24"/>
        </w:rPr>
        <w:t xml:space="preserve">8.2 Data Feeds Specific to M&amp;A Acquisition Bonds</w:t>
      </w:r>
    </w:p>
    <w:p>
      <w:pPr>
        <w:spacing w:after="140" w:line="320"/>
        <w:jc w:val="both"/>
      </w:pPr>
      <w:r>
        <w:rPr>
          <w:color w:val="1F2937"/>
          <w:sz w:val="22"/>
          <w:szCs w:val="22"/>
        </w:rPr>
        <w:t xml:space="preserve">The M&amp;A workbench integrates data feeds beyond the standard bond data feeds:</w:t>
      </w:r>
    </w:p>
    <w:p>
      <w:pPr>
        <w:pStyle w:val="ListParagraph"/>
        <w:numPr>
          <w:ilvl w:val="0"/>
          <w:numId w:val="2"/>
        </w:numPr>
        <w:spacing w:after="80" w:line="300"/>
      </w:pPr>
      <w:r>
        <w:rPr>
          <w:color w:val="1F2937"/>
          <w:sz w:val="22"/>
          <w:szCs w:val="22"/>
        </w:rPr>
        <w:t xml:space="preserve">Public M&amp;A transaction databases — comparable transaction multiples by sector and size</w:t>
      </w:r>
    </w:p>
    <w:p>
      <w:pPr>
        <w:pStyle w:val="ListParagraph"/>
        <w:numPr>
          <w:ilvl w:val="0"/>
          <w:numId w:val="2"/>
        </w:numPr>
        <w:spacing w:after="80" w:line="300"/>
      </w:pPr>
      <w:r>
        <w:rPr>
          <w:color w:val="1F2937"/>
          <w:sz w:val="22"/>
          <w:szCs w:val="22"/>
        </w:rPr>
        <w:t xml:space="preserve">PE firm portfolio data — sponsor's prior portfolio companies, performance history, sector experience</w:t>
      </w:r>
    </w:p>
    <w:p>
      <w:pPr>
        <w:pStyle w:val="ListParagraph"/>
        <w:numPr>
          <w:ilvl w:val="0"/>
          <w:numId w:val="2"/>
        </w:numPr>
        <w:spacing w:after="80" w:line="300"/>
      </w:pPr>
      <w:r>
        <w:rPr>
          <w:color w:val="1F2937"/>
          <w:sz w:val="22"/>
          <w:szCs w:val="22"/>
        </w:rPr>
        <w:t xml:space="preserve">Sector multiple benchmarks — current sector M&amp;A multiples from public deal flow</w:t>
      </w:r>
    </w:p>
    <w:p>
      <w:pPr>
        <w:pStyle w:val="ListParagraph"/>
        <w:numPr>
          <w:ilvl w:val="0"/>
          <w:numId w:val="2"/>
        </w:numPr>
        <w:spacing w:after="80" w:line="300"/>
      </w:pPr>
      <w:r>
        <w:rPr>
          <w:color w:val="1F2937"/>
          <w:sz w:val="22"/>
          <w:szCs w:val="22"/>
        </w:rPr>
        <w:t xml:space="preserve">Industry research — sector-specific operating metrics and benchmarks</w:t>
      </w:r>
    </w:p>
    <w:p>
      <w:pPr>
        <w:pStyle w:val="ListParagraph"/>
        <w:numPr>
          <w:ilvl w:val="0"/>
          <w:numId w:val="2"/>
        </w:numPr>
        <w:spacing w:after="80" w:line="300"/>
      </w:pPr>
      <w:r>
        <w:rPr>
          <w:color w:val="1F2937"/>
          <w:sz w:val="22"/>
          <w:szCs w:val="22"/>
        </w:rPr>
        <w:t xml:space="preserve">R&amp;W insurance market data — current RWI pricing and terms</w:t>
      </w:r>
    </w:p>
    <w:p>
      <w:pPr>
        <w:pStyle w:val="ListParagraph"/>
        <w:numPr>
          <w:ilvl w:val="0"/>
          <w:numId w:val="2"/>
        </w:numPr>
        <w:spacing w:after="80" w:line="300"/>
      </w:pPr>
      <w:r>
        <w:rPr>
          <w:color w:val="1F2937"/>
          <w:sz w:val="22"/>
          <w:szCs w:val="22"/>
        </w:rPr>
        <w:t xml:space="preserve">LC bank market data — current LC pricing by bank and tenor</w:t>
      </w:r>
    </w:p>
    <w:p>
      <w:pPr>
        <w:pStyle w:val="ListParagraph"/>
        <w:numPr>
          <w:ilvl w:val="0"/>
          <w:numId w:val="2"/>
        </w:numPr>
        <w:spacing w:after="80" w:line="300"/>
      </w:pPr>
      <w:r>
        <w:rPr>
          <w:color w:val="1F2937"/>
          <w:sz w:val="22"/>
          <w:szCs w:val="22"/>
        </w:rPr>
        <w:t xml:space="preserve">QofE firm rosters and engagement standards</w:t>
      </w:r>
    </w:p>
    <w:p>
      <w:pPr>
        <w:pStyle w:val="Heading3"/>
        <w:spacing w:after="120" w:before="240"/>
      </w:pPr>
      <w:r>
        <w:rPr>
          <w:b/>
          <w:bCs/>
          <w:color w:val="374151"/>
          <w:sz w:val="24"/>
          <w:szCs w:val="24"/>
        </w:rPr>
        <w:t xml:space="preserve">8.3 The Offer/Counteroffer Module — M&amp;A Extension</w:t>
      </w:r>
    </w:p>
    <w:p>
      <w:pPr>
        <w:spacing w:after="140" w:line="320"/>
        <w:jc w:val="both"/>
      </w:pPr>
      <w:r>
        <w:rPr>
          <w:color w:val="1F2937"/>
          <w:sz w:val="22"/>
          <w:szCs w:val="22"/>
        </w:rPr>
        <w:t xml:space="preserve">The platform's existing offer/counteroffer module extends to M&amp;A acquisition bond workflow. The module supports:</w:t>
      </w:r>
    </w:p>
    <w:p>
      <w:pPr>
        <w:pStyle w:val="ListParagraph"/>
        <w:numPr>
          <w:ilvl w:val="0"/>
          <w:numId w:val="2"/>
        </w:numPr>
        <w:spacing w:after="80" w:line="300"/>
      </w:pPr>
      <w:r>
        <w:rPr>
          <w:color w:val="1F2937"/>
          <w:sz w:val="22"/>
          <w:szCs w:val="22"/>
        </w:rPr>
        <w:t xml:space="preserve">Bond term sheet exchange between Nest and the acquirer</w:t>
      </w:r>
    </w:p>
    <w:p>
      <w:pPr>
        <w:pStyle w:val="ListParagraph"/>
        <w:numPr>
          <w:ilvl w:val="0"/>
          <w:numId w:val="2"/>
        </w:numPr>
        <w:spacing w:after="80" w:line="300"/>
      </w:pPr>
      <w:r>
        <w:rPr>
          <w:color w:val="1F2937"/>
          <w:sz w:val="22"/>
          <w:szCs w:val="22"/>
        </w:rPr>
        <w:t xml:space="preserve">Bond pricing negotiation between Nest, the BD partner, and prospective bondholders</w:t>
      </w:r>
    </w:p>
    <w:p>
      <w:pPr>
        <w:pStyle w:val="ListParagraph"/>
        <w:numPr>
          <w:ilvl w:val="0"/>
          <w:numId w:val="2"/>
        </w:numPr>
        <w:spacing w:after="80" w:line="300"/>
      </w:pPr>
      <w:r>
        <w:rPr>
          <w:color w:val="1F2937"/>
          <w:sz w:val="22"/>
          <w:szCs w:val="22"/>
        </w:rPr>
        <w:t xml:space="preserve">Indenture term negotiation with M&amp;A-specific provisions visible (acquisition coverage test thresholds, equity contribution requirements, permitted acquisition baskets)</w:t>
      </w:r>
    </w:p>
    <w:p>
      <w:pPr>
        <w:pStyle w:val="ListParagraph"/>
        <w:numPr>
          <w:ilvl w:val="0"/>
          <w:numId w:val="2"/>
        </w:numPr>
        <w:spacing w:after="80" w:line="300"/>
      </w:pPr>
      <w:r>
        <w:rPr>
          <w:color w:val="1F2937"/>
          <w:sz w:val="22"/>
          <w:szCs w:val="22"/>
        </w:rPr>
        <w:t xml:space="preserve">Real-time deal modification with downstream document updates</w:t>
      </w:r>
    </w:p>
    <w:p>
      <w:pPr>
        <w:pStyle w:val="ListParagraph"/>
        <w:numPr>
          <w:ilvl w:val="0"/>
          <w:numId w:val="2"/>
        </w:numPr>
        <w:spacing w:after="80" w:line="300"/>
      </w:pPr>
      <w:r>
        <w:rPr>
          <w:color w:val="1F2937"/>
          <w:sz w:val="22"/>
          <w:szCs w:val="22"/>
        </w:rPr>
        <w:t xml:space="preserve">Negotiation gating with defined response deadlines</w:t>
      </w:r>
    </w:p>
    <w:p>
      <w:pPr>
        <w:pStyle w:val="ListParagraph"/>
        <w:numPr>
          <w:ilvl w:val="0"/>
          <w:numId w:val="2"/>
        </w:numPr>
        <w:spacing w:after="80" w:line="300"/>
      </w:pPr>
      <w:r>
        <w:rPr>
          <w:color w:val="1F2937"/>
          <w:sz w:val="22"/>
          <w:szCs w:val="22"/>
        </w:rPr>
        <w:t xml:space="preserve">Bernard translation of counteroffers into plain-English impact analysis</w:t>
      </w:r>
    </w:p>
    <w:p>
      <w:pPr>
        <w:spacing w:after="140" w:line="320"/>
        <w:jc w:val="both"/>
      </w:pPr>
      <w:r>
        <w:rPr>
          <w:color w:val="1F2937"/>
          <w:sz w:val="22"/>
          <w:szCs w:val="22"/>
        </w:rPr>
        <w:t xml:space="preserve">Direction to Claude Code: extend the existing offer/counteroffer module to support M&amp;A acquisition bond workflow. Add the M&amp;A-specific term fields (acquisition coverage test, equity contribution requirement, permitted acquisition basket, change of control put, restricted payment build-up) to the negotiation interface. Connect the M&amp;A workbench to the offer/counteroffer module so that term changes flow into the document drafts and capital structure analysis.</w:t>
      </w:r>
    </w:p>
    <w:p>
      <w:pPr>
        <w:pStyle w:val="Heading3"/>
        <w:spacing w:after="120" w:before="240"/>
      </w:pPr>
      <w:r>
        <w:rPr>
          <w:b/>
          <w:bCs/>
          <w:color w:val="374151"/>
          <w:sz w:val="24"/>
          <w:szCs w:val="24"/>
        </w:rPr>
        <w:t xml:space="preserve">8.4 Integration with Existing Platform Components</w:t>
      </w:r>
    </w:p>
    <w:p>
      <w:pPr>
        <w:pStyle w:val="ListParagraph"/>
        <w:numPr>
          <w:ilvl w:val="0"/>
          <w:numId w:val="2"/>
        </w:numPr>
        <w:spacing w:after="80" w:line="300"/>
      </w:pPr>
      <w:r>
        <w:rPr>
          <w:color w:val="1F2937"/>
          <w:sz w:val="22"/>
          <w:szCs w:val="22"/>
        </w:rPr>
        <w:t xml:space="preserve">Bond Desk — the M&amp;A workbench sits inside the existing Bond Desk section as a use case tab</w:t>
      </w:r>
    </w:p>
    <w:p>
      <w:pPr>
        <w:pStyle w:val="ListParagraph"/>
        <w:numPr>
          <w:ilvl w:val="0"/>
          <w:numId w:val="2"/>
        </w:numPr>
        <w:spacing w:after="80" w:line="300"/>
      </w:pPr>
      <w:r>
        <w:rPr>
          <w:color w:val="1F2937"/>
          <w:sz w:val="22"/>
          <w:szCs w:val="22"/>
        </w:rPr>
        <w:t xml:space="preserve">Eagle Eye — M&amp;A signaling and IPO readiness intelligence flows into the workbench's pipeline tab</w:t>
      </w:r>
    </w:p>
    <w:p>
      <w:pPr>
        <w:pStyle w:val="ListParagraph"/>
        <w:numPr>
          <w:ilvl w:val="0"/>
          <w:numId w:val="2"/>
        </w:numPr>
        <w:spacing w:after="80" w:line="300"/>
      </w:pPr>
      <w:r>
        <w:rPr>
          <w:color w:val="1F2937"/>
          <w:sz w:val="22"/>
          <w:szCs w:val="22"/>
        </w:rPr>
        <w:t xml:space="preserve">Night Vision — buyer pool intelligence calibrated to M&amp;A bond buyers (specialty credit funds, BDCs, certain insurance company portfolios, mezzanine funds for sub-tranches)</w:t>
      </w:r>
    </w:p>
    <w:p>
      <w:pPr>
        <w:pStyle w:val="ListParagraph"/>
        <w:numPr>
          <w:ilvl w:val="0"/>
          <w:numId w:val="2"/>
        </w:numPr>
        <w:spacing w:after="80" w:line="300"/>
      </w:pPr>
      <w:r>
        <w:rPr>
          <w:color w:val="1F2937"/>
          <w:sz w:val="22"/>
          <w:szCs w:val="22"/>
        </w:rPr>
        <w:t xml:space="preserve">Compliance layer — KYC, AML, OFAC, PEP screening for acquirer, sponsor, and target counterparties; conflicts checking against existing bond portfolio</w:t>
      </w:r>
    </w:p>
    <w:p>
      <w:pPr>
        <w:pStyle w:val="ListParagraph"/>
        <w:numPr>
          <w:ilvl w:val="0"/>
          <w:numId w:val="2"/>
        </w:numPr>
        <w:spacing w:after="80" w:line="300"/>
      </w:pPr>
      <w:r>
        <w:rPr>
          <w:color w:val="1F2937"/>
          <w:sz w:val="22"/>
          <w:szCs w:val="22"/>
        </w:rPr>
        <w:t xml:space="preserve">Docs section — M&amp;A-specific document templates</w:t>
      </w:r>
    </w:p>
    <w:p>
      <w:pPr>
        <w:pStyle w:val="ListParagraph"/>
        <w:numPr>
          <w:ilvl w:val="0"/>
          <w:numId w:val="2"/>
        </w:numPr>
        <w:spacing w:after="80" w:line="300"/>
      </w:pPr>
      <w:r>
        <w:rPr>
          <w:color w:val="1F2937"/>
          <w:sz w:val="22"/>
          <w:szCs w:val="22"/>
        </w:rPr>
        <w:t xml:space="preserve">Admin dashboard — Sean and Josh see M&amp;A pipeline alongside other deal use cases</w:t>
      </w:r>
    </w:p>
    <w:p>
      <w:pPr>
        <w:pStyle w:val="Heading3"/>
        <w:spacing w:after="120" w:before="240"/>
      </w:pPr>
      <w:r>
        <w:rPr>
          <w:b/>
          <w:bCs/>
          <w:color w:val="374151"/>
          <w:sz w:val="24"/>
          <w:szCs w:val="24"/>
        </w:rPr>
        <w:t xml:space="preserve">8.5 NAICS-Based Routing</w:t>
      </w:r>
    </w:p>
    <w:p>
      <w:pPr>
        <w:spacing w:after="140" w:line="320"/>
        <w:jc w:val="both"/>
      </w:pPr>
      <w:r>
        <w:rPr>
          <w:color w:val="1F2937"/>
          <w:sz w:val="22"/>
          <w:szCs w:val="22"/>
        </w:rPr>
        <w:t xml:space="preserve">Incoming M&amp;A acquisition bond deals are classified by target's NAICS code. The platform routes deals into sector-specific overlays based on the NAICS classification. Sector overlays provide:</w:t>
      </w:r>
    </w:p>
    <w:p>
      <w:pPr>
        <w:pStyle w:val="ListParagraph"/>
        <w:numPr>
          <w:ilvl w:val="0"/>
          <w:numId w:val="2"/>
        </w:numPr>
        <w:spacing w:after="80" w:line="300"/>
      </w:pPr>
      <w:r>
        <w:rPr>
          <w:color w:val="1F2937"/>
          <w:sz w:val="22"/>
          <w:szCs w:val="22"/>
        </w:rPr>
        <w:t xml:space="preserve">Sector-specific comparable transaction data</w:t>
      </w:r>
    </w:p>
    <w:p>
      <w:pPr>
        <w:pStyle w:val="ListParagraph"/>
        <w:numPr>
          <w:ilvl w:val="0"/>
          <w:numId w:val="2"/>
        </w:numPr>
        <w:spacing w:after="80" w:line="300"/>
      </w:pPr>
      <w:r>
        <w:rPr>
          <w:color w:val="1F2937"/>
          <w:sz w:val="22"/>
          <w:szCs w:val="22"/>
        </w:rPr>
        <w:t xml:space="preserve">Sector-specific multiple ranges and calibration</w:t>
      </w:r>
    </w:p>
    <w:p>
      <w:pPr>
        <w:pStyle w:val="ListParagraph"/>
        <w:numPr>
          <w:ilvl w:val="0"/>
          <w:numId w:val="2"/>
        </w:numPr>
        <w:spacing w:after="80" w:line="300"/>
      </w:pPr>
      <w:r>
        <w:rPr>
          <w:color w:val="1F2937"/>
          <w:sz w:val="22"/>
          <w:szCs w:val="22"/>
        </w:rPr>
        <w:t xml:space="preserve">Sector-specific QofE firm recommendations</w:t>
      </w:r>
    </w:p>
    <w:p>
      <w:pPr>
        <w:pStyle w:val="ListParagraph"/>
        <w:numPr>
          <w:ilvl w:val="0"/>
          <w:numId w:val="2"/>
        </w:numPr>
        <w:spacing w:after="80" w:line="300"/>
      </w:pPr>
      <w:r>
        <w:rPr>
          <w:color w:val="1F2937"/>
          <w:sz w:val="22"/>
          <w:szCs w:val="22"/>
        </w:rPr>
        <w:t xml:space="preserve">Sector-specific operating metrics and benchmarks</w:t>
      </w:r>
    </w:p>
    <w:p>
      <w:pPr>
        <w:pStyle w:val="ListParagraph"/>
        <w:numPr>
          <w:ilvl w:val="0"/>
          <w:numId w:val="2"/>
        </w:numPr>
        <w:spacing w:after="80" w:line="300"/>
      </w:pPr>
      <w:r>
        <w:rPr>
          <w:color w:val="1F2937"/>
          <w:sz w:val="22"/>
          <w:szCs w:val="22"/>
        </w:rPr>
        <w:t xml:space="preserve">Sector-specific buyer pool intelligence</w:t>
      </w:r>
    </w:p>
    <w:p>
      <w:pPr>
        <w:pStyle w:val="ListParagraph"/>
        <w:numPr>
          <w:ilvl w:val="0"/>
          <w:numId w:val="2"/>
        </w:numPr>
        <w:spacing w:after="80" w:line="300"/>
      </w:pPr>
      <w:r>
        <w:rPr>
          <w:color w:val="1F2937"/>
          <w:sz w:val="22"/>
          <w:szCs w:val="22"/>
        </w:rPr>
        <w:t xml:space="preserve">Sector-specific covenant calibration</w:t>
      </w:r>
    </w:p>
    <w:p>
      <w:pPr>
        <w:spacing w:after="140" w:line="320"/>
        <w:jc w:val="both"/>
      </w:pPr>
      <w:r>
        <w:rPr>
          <w:color w:val="1F2937"/>
          <w:sz w:val="22"/>
          <w:szCs w:val="22"/>
        </w:rPr>
        <w:t xml:space="preserve">As deal flow concentrates in specific sectors per the empirical silo principle (from the Operating Framework), the sector overlays deepen. The platform's sector calibration improves with every deal processed in that sector.</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9. The Organizational Mirror — Agent Roles for M&amp;A Acquisition Bonds</w:t>
      </w:r>
    </w:p>
    <w:p>
      <w:pPr>
        <w:spacing w:after="140" w:line="320"/>
        <w:jc w:val="both"/>
      </w:pPr>
      <w:r>
        <w:rPr>
          <w:color w:val="1F2937"/>
          <w:sz w:val="22"/>
          <w:szCs w:val="22"/>
        </w:rPr>
        <w:t xml:space="preserve">This section describes the agent role architecture for M&amp;A acquisition bonds. The structure mirrors institutional counterpart roles per the firm's mirroring principle. M&amp;A acquisition bonds involve a cast of counterparties different from a vanilla bond — the acquirer's deal team, the target's deal team, the QofE firm, the R&amp;W insurer, the LC bank (where applicable). The agent roles are configured to interface cleanly with each.</w:t>
      </w:r>
    </w:p>
    <w:p>
      <w:pPr>
        <w:pStyle w:val="Heading3"/>
        <w:spacing w:after="120" w:before="240"/>
      </w:pPr>
      <w:r>
        <w:rPr>
          <w:b/>
          <w:bCs/>
          <w:color w:val="374151"/>
          <w:sz w:val="24"/>
          <w:szCs w:val="24"/>
        </w:rPr>
        <w:t xml:space="preserve">9.1 Inside Nest — The M&amp;A Acquisition Bond Team</w:t>
      </w:r>
    </w:p>
    <w:p>
      <w:pPr>
        <w:spacing w:after="140" w:line="320"/>
        <w:jc w:val="both"/>
      </w:pPr>
      <w:r>
        <w:rPr>
          <w:color w:val="1F2937"/>
          <w:sz w:val="22"/>
          <w:szCs w:val="22"/>
        </w:rPr>
        <w:t xml:space="preserve">Within Nest's existing 14-desk organizational structure, M&amp;A acquisition bonds are handled by an integrated team drawing from multiple desks. The structure:</w:t>
      </w:r>
    </w:p>
    <w:p>
      <w:pPr>
        <w:spacing w:after="80" w:before="180"/>
      </w:pPr>
      <w:r>
        <w:rPr>
          <w:b/>
          <w:bCs/>
          <w:i/>
          <w:iCs/>
          <w:color w:val="374151"/>
          <w:sz w:val="22"/>
          <w:szCs w:val="22"/>
        </w:rPr>
        <w:t xml:space="preserve">Bond Desk Roles (per Part 4.2 of the Operating Framework)</w:t>
      </w:r>
    </w:p>
    <w:p>
      <w:pPr>
        <w:pStyle w:val="ListParagraph"/>
        <w:numPr>
          <w:ilvl w:val="0"/>
          <w:numId w:val="2"/>
        </w:numPr>
        <w:spacing w:after="80" w:line="300"/>
      </w:pPr>
      <w:r>
        <w:rPr>
          <w:color w:val="1F2937"/>
          <w:sz w:val="22"/>
          <w:szCs w:val="22"/>
        </w:rPr>
        <w:t xml:space="preserve">MD Agent — deal economics ownership, key sponsor relationship, escalation point</w:t>
      </w:r>
    </w:p>
    <w:p>
      <w:pPr>
        <w:pStyle w:val="ListParagraph"/>
        <w:numPr>
          <w:ilvl w:val="0"/>
          <w:numId w:val="2"/>
        </w:numPr>
        <w:spacing w:after="80" w:line="300"/>
      </w:pPr>
      <w:r>
        <w:rPr>
          <w:color w:val="1F2937"/>
          <w:sz w:val="22"/>
          <w:szCs w:val="22"/>
        </w:rPr>
        <w:t xml:space="preserve">VP Agent — day-to-day deal management, sponsor-facing daily contact, working group coordination</w:t>
      </w:r>
    </w:p>
    <w:p>
      <w:pPr>
        <w:pStyle w:val="ListParagraph"/>
        <w:numPr>
          <w:ilvl w:val="0"/>
          <w:numId w:val="2"/>
        </w:numPr>
        <w:spacing w:after="80" w:line="300"/>
      </w:pPr>
      <w:r>
        <w:rPr>
          <w:color w:val="1F2937"/>
          <w:sz w:val="22"/>
          <w:szCs w:val="22"/>
        </w:rPr>
        <w:t xml:space="preserve">Associate Agent — execution work, materials production, sponsor information request response</w:t>
      </w:r>
    </w:p>
    <w:p>
      <w:pPr>
        <w:pStyle w:val="ListParagraph"/>
        <w:numPr>
          <w:ilvl w:val="0"/>
          <w:numId w:val="2"/>
        </w:numPr>
        <w:spacing w:after="80" w:line="300"/>
      </w:pPr>
      <w:r>
        <w:rPr>
          <w:color w:val="1F2937"/>
          <w:sz w:val="22"/>
          <w:szCs w:val="22"/>
        </w:rPr>
        <w:t xml:space="preserve">Analyst Agent — sponsor financial diligence, target financial modeling, comparable transaction analysis, sensitivity analysis</w:t>
      </w:r>
    </w:p>
    <w:p>
      <w:pPr>
        <w:spacing w:after="80" w:before="180"/>
      </w:pPr>
      <w:r>
        <w:rPr>
          <w:b/>
          <w:bCs/>
          <w:i/>
          <w:iCs/>
          <w:color w:val="374151"/>
          <w:sz w:val="22"/>
          <w:szCs w:val="22"/>
        </w:rPr>
        <w:t xml:space="preserve">Credit Underwriting Desk (per Part 4.3)</w:t>
      </w:r>
    </w:p>
    <w:p>
      <w:pPr>
        <w:pStyle w:val="ListParagraph"/>
        <w:numPr>
          <w:ilvl w:val="0"/>
          <w:numId w:val="2"/>
        </w:numPr>
        <w:spacing w:after="80" w:line="300"/>
      </w:pPr>
      <w:r>
        <w:rPr>
          <w:color w:val="1F2937"/>
          <w:sz w:val="22"/>
          <w:szCs w:val="22"/>
        </w:rPr>
        <w:t xml:space="preserve">Senior Credit Underwriter Agent — produces the M&amp;A acquisition bond credit memo applying the universal credit policy with M&amp;A overlay</w:t>
      </w:r>
    </w:p>
    <w:p>
      <w:pPr>
        <w:pStyle w:val="ListParagraph"/>
        <w:numPr>
          <w:ilvl w:val="0"/>
          <w:numId w:val="2"/>
        </w:numPr>
        <w:spacing w:after="80" w:line="300"/>
      </w:pPr>
      <w:r>
        <w:rPr>
          <w:color w:val="1F2937"/>
          <w:sz w:val="22"/>
          <w:szCs w:val="22"/>
        </w:rPr>
        <w:t xml:space="preserve">Credit Analyst Agent — supports with deeper analysis, comparable analysis, sponsor track record analysis</w:t>
      </w:r>
    </w:p>
    <w:p>
      <w:pPr>
        <w:spacing w:after="80" w:before="180"/>
      </w:pPr>
      <w:r>
        <w:rPr>
          <w:b/>
          <w:bCs/>
          <w:i/>
          <w:iCs/>
          <w:color w:val="374151"/>
          <w:sz w:val="22"/>
          <w:szCs w:val="22"/>
        </w:rPr>
        <w:t xml:space="preserve">Structuring Desk (per Part 4.4)</w:t>
      </w:r>
    </w:p>
    <w:p>
      <w:pPr>
        <w:pStyle w:val="ListParagraph"/>
        <w:numPr>
          <w:ilvl w:val="0"/>
          <w:numId w:val="2"/>
        </w:numPr>
        <w:spacing w:after="80" w:line="300"/>
      </w:pPr>
      <w:r>
        <w:rPr>
          <w:color w:val="1F2937"/>
          <w:sz w:val="22"/>
          <w:szCs w:val="22"/>
        </w:rPr>
        <w:t xml:space="preserve">Senior Structurer Agent — designs the bond structure (single tranche vs multi-tranche, LC structure vs unenhanced, delayed draw vs single funding, amortization profile)</w:t>
      </w:r>
    </w:p>
    <w:p>
      <w:pPr>
        <w:pStyle w:val="ListParagraph"/>
        <w:numPr>
          <w:ilvl w:val="0"/>
          <w:numId w:val="2"/>
        </w:numPr>
        <w:spacing w:after="80" w:line="300"/>
      </w:pPr>
      <w:r>
        <w:rPr>
          <w:color w:val="1F2937"/>
          <w:sz w:val="22"/>
          <w:szCs w:val="22"/>
        </w:rPr>
        <w:t xml:space="preserve">Structuring Analyst Agent — runs scenario analysis, sensitivity analysis, comparable structure analysis</w:t>
      </w:r>
    </w:p>
    <w:p>
      <w:pPr>
        <w:spacing w:after="80" w:before="180"/>
      </w:pPr>
      <w:r>
        <w:rPr>
          <w:b/>
          <w:bCs/>
          <w:i/>
          <w:iCs/>
          <w:color w:val="374151"/>
          <w:sz w:val="22"/>
          <w:szCs w:val="22"/>
        </w:rPr>
        <w:t xml:space="preserve">Rating Desk (per Part 4.5)</w:t>
      </w:r>
    </w:p>
    <w:p>
      <w:pPr>
        <w:pStyle w:val="ListParagraph"/>
        <w:numPr>
          <w:ilvl w:val="0"/>
          <w:numId w:val="2"/>
        </w:numPr>
        <w:spacing w:after="80" w:line="300"/>
      </w:pPr>
      <w:r>
        <w:rPr>
          <w:color w:val="1F2937"/>
          <w:sz w:val="22"/>
          <w:szCs w:val="22"/>
        </w:rPr>
        <w:t xml:space="preserve">Moody's Methodology Mirror Agent — applies Moody's high-yield corporate methodology to predict rating outcome</w:t>
      </w:r>
    </w:p>
    <w:p>
      <w:pPr>
        <w:pStyle w:val="ListParagraph"/>
        <w:numPr>
          <w:ilvl w:val="0"/>
          <w:numId w:val="2"/>
        </w:numPr>
        <w:spacing w:after="80" w:line="300"/>
      </w:pPr>
      <w:r>
        <w:rPr>
          <w:color w:val="1F2937"/>
          <w:sz w:val="22"/>
          <w:szCs w:val="22"/>
        </w:rPr>
        <w:t xml:space="preserve">S&amp;P Methodology Mirror Agent — applies S&amp;P corporate criteria to predict rating outcome</w:t>
      </w:r>
    </w:p>
    <w:p>
      <w:pPr>
        <w:pStyle w:val="ListParagraph"/>
        <w:numPr>
          <w:ilvl w:val="0"/>
          <w:numId w:val="2"/>
        </w:numPr>
        <w:spacing w:after="80" w:line="300"/>
      </w:pPr>
      <w:r>
        <w:rPr>
          <w:color w:val="1F2937"/>
          <w:sz w:val="22"/>
          <w:szCs w:val="22"/>
        </w:rPr>
        <w:t xml:space="preserve">Rating Strategy Agent — agency selection (typically single rating from one of the major agencies; possibly dual rating for larger deals)</w:t>
      </w:r>
    </w:p>
    <w:p>
      <w:pPr>
        <w:spacing w:after="80" w:before="180"/>
      </w:pPr>
      <w:r>
        <w:rPr>
          <w:b/>
          <w:bCs/>
          <w:i/>
          <w:iCs/>
          <w:color w:val="374151"/>
          <w:sz w:val="22"/>
          <w:szCs w:val="22"/>
        </w:rPr>
        <w:t xml:space="preserve">Documents Desk (per Part 4.6)</w:t>
      </w:r>
    </w:p>
    <w:p>
      <w:pPr>
        <w:pStyle w:val="ListParagraph"/>
        <w:numPr>
          <w:ilvl w:val="0"/>
          <w:numId w:val="2"/>
        </w:numPr>
        <w:spacing w:after="80" w:line="300"/>
      </w:pPr>
      <w:r>
        <w:rPr>
          <w:color w:val="1F2937"/>
          <w:sz w:val="22"/>
          <w:szCs w:val="22"/>
        </w:rPr>
        <w:t xml:space="preserve">Documents Lead Agent — indenture strategy, key M&amp;A-specific provision drafting</w:t>
      </w:r>
    </w:p>
    <w:p>
      <w:pPr>
        <w:pStyle w:val="ListParagraph"/>
        <w:numPr>
          <w:ilvl w:val="0"/>
          <w:numId w:val="2"/>
        </w:numPr>
        <w:spacing w:after="80" w:line="300"/>
      </w:pPr>
      <w:r>
        <w:rPr>
          <w:color w:val="1F2937"/>
          <w:sz w:val="22"/>
          <w:szCs w:val="22"/>
        </w:rPr>
        <w:t xml:space="preserve">Documents Drafting Agent — produces all transaction document drafts</w:t>
      </w:r>
    </w:p>
    <w:p>
      <w:pPr>
        <w:pStyle w:val="ListParagraph"/>
        <w:numPr>
          <w:ilvl w:val="0"/>
          <w:numId w:val="2"/>
        </w:numPr>
        <w:spacing w:after="80" w:line="300"/>
      </w:pPr>
      <w:r>
        <w:rPr>
          <w:color w:val="1F2937"/>
          <w:sz w:val="22"/>
          <w:szCs w:val="22"/>
        </w:rPr>
        <w:t xml:space="preserve">Documents Version Control Agent — manages document versions across the deal</w:t>
      </w:r>
    </w:p>
    <w:p>
      <w:pPr>
        <w:spacing w:after="80" w:before="180"/>
      </w:pPr>
      <w:r>
        <w:rPr>
          <w:b/>
          <w:bCs/>
          <w:i/>
          <w:iCs/>
          <w:color w:val="374151"/>
          <w:sz w:val="22"/>
          <w:szCs w:val="22"/>
        </w:rPr>
        <w:t xml:space="preserve">Insurance/Surety/Credit Enhancement Desk (per Part 4.10)</w:t>
      </w:r>
    </w:p>
    <w:p>
      <w:pPr>
        <w:pStyle w:val="ListParagraph"/>
        <w:numPr>
          <w:ilvl w:val="0"/>
          <w:numId w:val="2"/>
        </w:numPr>
        <w:spacing w:after="80" w:line="300"/>
      </w:pPr>
      <w:r>
        <w:rPr>
          <w:color w:val="1F2937"/>
          <w:sz w:val="22"/>
          <w:szCs w:val="22"/>
        </w:rPr>
        <w:t xml:space="preserve">Enhancement Strategy Agent — evaluates whether LC structure is appropriate for the deal</w:t>
      </w:r>
    </w:p>
    <w:p>
      <w:pPr>
        <w:pStyle w:val="ListParagraph"/>
        <w:numPr>
          <w:ilvl w:val="0"/>
          <w:numId w:val="2"/>
        </w:numPr>
        <w:spacing w:after="80" w:line="300"/>
      </w:pPr>
      <w:r>
        <w:rPr>
          <w:color w:val="1F2937"/>
          <w:sz w:val="22"/>
          <w:szCs w:val="22"/>
        </w:rPr>
        <w:t xml:space="preserve">LC Bank Liaison Agent — coordinates LC issuance when LC structure is used</w:t>
      </w:r>
    </w:p>
    <w:p>
      <w:pPr>
        <w:pStyle w:val="ListParagraph"/>
        <w:numPr>
          <w:ilvl w:val="0"/>
          <w:numId w:val="2"/>
        </w:numPr>
        <w:spacing w:after="80" w:line="300"/>
      </w:pPr>
      <w:r>
        <w:rPr>
          <w:color w:val="1F2937"/>
          <w:sz w:val="22"/>
          <w:szCs w:val="22"/>
        </w:rPr>
        <w:t xml:space="preserve">R&amp;W Insurance Coordination — coordinates with the acquirer's RWI placement</w:t>
      </w:r>
    </w:p>
    <w:p>
      <w:pPr>
        <w:spacing w:after="80" w:before="180"/>
      </w:pPr>
      <w:r>
        <w:rPr>
          <w:b/>
          <w:bCs/>
          <w:i/>
          <w:iCs/>
          <w:color w:val="374151"/>
          <w:sz w:val="22"/>
          <w:szCs w:val="22"/>
        </w:rPr>
        <w:t xml:space="preserve">Placement Desk (per Part 4.11)</w:t>
      </w:r>
    </w:p>
    <w:p>
      <w:pPr>
        <w:pStyle w:val="ListParagraph"/>
        <w:numPr>
          <w:ilvl w:val="0"/>
          <w:numId w:val="2"/>
        </w:numPr>
        <w:spacing w:after="80" w:line="300"/>
      </w:pPr>
      <w:r>
        <w:rPr>
          <w:color w:val="1F2937"/>
          <w:sz w:val="22"/>
          <w:szCs w:val="22"/>
        </w:rPr>
        <w:t xml:space="preserve">Placement Coordinator Agent — coordinates with BD partner on M&amp;A bond placement</w:t>
      </w:r>
    </w:p>
    <w:p>
      <w:pPr>
        <w:pStyle w:val="ListParagraph"/>
        <w:numPr>
          <w:ilvl w:val="0"/>
          <w:numId w:val="2"/>
        </w:numPr>
        <w:spacing w:after="80" w:line="300"/>
      </w:pPr>
      <w:r>
        <w:rPr>
          <w:color w:val="1F2937"/>
          <w:sz w:val="22"/>
          <w:szCs w:val="22"/>
        </w:rPr>
        <w:t xml:space="preserve">Pricing Analyst Agent — comparable transaction pricing analysis</w:t>
      </w:r>
    </w:p>
    <w:p>
      <w:pPr>
        <w:pStyle w:val="ListParagraph"/>
        <w:numPr>
          <w:ilvl w:val="0"/>
          <w:numId w:val="2"/>
        </w:numPr>
        <w:spacing w:after="80" w:line="300"/>
      </w:pPr>
      <w:r>
        <w:rPr>
          <w:color w:val="1F2937"/>
          <w:sz w:val="22"/>
          <w:szCs w:val="22"/>
        </w:rPr>
        <w:t xml:space="preserve">Buyer Pool Intelligence Agent (Night Vision) — M&amp;A bond buyer universe</w:t>
      </w:r>
    </w:p>
    <w:p>
      <w:pPr>
        <w:spacing w:after="80" w:before="180"/>
      </w:pPr>
      <w:r>
        <w:rPr>
          <w:b/>
          <w:bCs/>
          <w:i/>
          <w:iCs/>
          <w:color w:val="374151"/>
          <w:sz w:val="22"/>
          <w:szCs w:val="22"/>
        </w:rPr>
        <w:t xml:space="preserve">BDO (per Part 4.14)</w:t>
      </w:r>
    </w:p>
    <w:p>
      <w:pPr>
        <w:pStyle w:val="ListParagraph"/>
        <w:numPr>
          <w:ilvl w:val="0"/>
          <w:numId w:val="2"/>
        </w:numPr>
        <w:spacing w:after="80" w:line="300"/>
      </w:pPr>
      <w:r>
        <w:rPr>
          <w:color w:val="1F2937"/>
          <w:sz w:val="22"/>
          <w:szCs w:val="22"/>
        </w:rPr>
        <w:t xml:space="preserve">M&amp;A Signaling Agent (Eagle Eye) — identifies M&amp;A activity creating bond financing opportunities</w:t>
      </w:r>
    </w:p>
    <w:p>
      <w:pPr>
        <w:pStyle w:val="ListParagraph"/>
        <w:numPr>
          <w:ilvl w:val="0"/>
          <w:numId w:val="2"/>
        </w:numPr>
        <w:spacing w:after="80" w:line="300"/>
      </w:pPr>
      <w:r>
        <w:rPr>
          <w:color w:val="1F2937"/>
          <w:sz w:val="22"/>
          <w:szCs w:val="22"/>
        </w:rPr>
        <w:t xml:space="preserve">Outreach Agent — sponsor outreach for inbound opportunities</w:t>
      </w:r>
    </w:p>
    <w:p>
      <w:pPr>
        <w:pStyle w:val="ListParagraph"/>
        <w:numPr>
          <w:ilvl w:val="0"/>
          <w:numId w:val="2"/>
        </w:numPr>
        <w:spacing w:after="80" w:line="300"/>
      </w:pPr>
      <w:r>
        <w:rPr>
          <w:color w:val="1F2937"/>
          <w:sz w:val="22"/>
          <w:szCs w:val="22"/>
        </w:rPr>
        <w:t xml:space="preserve">Pipeline Tracking Agent — M&amp;A acquisition bond pipeline analytics</w:t>
      </w:r>
    </w:p>
    <w:p>
      <w:pPr>
        <w:spacing w:after="140" w:line="320"/>
        <w:jc w:val="both"/>
      </w:pPr>
      <w:r>
        <w:rPr>
          <w:color w:val="1F2937"/>
          <w:sz w:val="22"/>
          <w:szCs w:val="22"/>
        </w:rPr>
        <w:t xml:space="preserve">The team is fully assembled from existing desks. No new desk is required for M&amp;A acquisition bonds — the use case is a calibration of the existing agent workforce, not a new organizational structure.</w:t>
      </w:r>
    </w:p>
    <w:p>
      <w:pPr>
        <w:pStyle w:val="Heading3"/>
        <w:spacing w:after="120" w:before="240"/>
      </w:pPr>
      <w:r>
        <w:rPr>
          <w:b/>
          <w:bCs/>
          <w:color w:val="374151"/>
          <w:sz w:val="24"/>
          <w:szCs w:val="24"/>
        </w:rPr>
        <w:t xml:space="preserve">9.2 The Counterparty Mirror</w:t>
      </w:r>
    </w:p>
    <w:p>
      <w:pPr>
        <w:spacing w:after="140" w:line="320"/>
        <w:jc w:val="both"/>
      </w:pPr>
      <w:r>
        <w:rPr>
          <w:color w:val="1F2937"/>
          <w:sz w:val="22"/>
          <w:szCs w:val="22"/>
        </w:rPr>
        <w:t xml:space="preserve">M&amp;A acquisition bonds involve counterparties whose roles Nest's agent workforce must interface with cleanly. The counterparty mirror:</w:t>
      </w:r>
    </w:p>
    <w:p>
      <w:pPr>
        <w:spacing w:after="80" w:before="180"/>
      </w:pPr>
      <w:r>
        <w:rPr>
          <w:b/>
          <w:bCs/>
          <w:i/>
          <w:iCs/>
          <w:color w:val="374151"/>
          <w:sz w:val="22"/>
          <w:szCs w:val="22"/>
        </w:rPr>
        <w:t xml:space="preserve">Acquirer Side</w:t>
      </w:r>
    </w:p>
    <w:p>
      <w:pPr>
        <w:pStyle w:val="ListParagraph"/>
        <w:numPr>
          <w:ilvl w:val="0"/>
          <w:numId w:val="2"/>
        </w:numPr>
        <w:spacing w:after="80" w:line="300"/>
      </w:pPr>
      <w:r>
        <w:rPr>
          <w:color w:val="1F2937"/>
          <w:sz w:val="22"/>
          <w:szCs w:val="22"/>
        </w:rPr>
        <w:t xml:space="preserve">Sponsor deal team (typical PE firm deal team: Partner, Principal, VP, Associate, Analyst) — interfaces with Nest's Bond Desk team at corresponding seniority levels</w:t>
      </w:r>
    </w:p>
    <w:p>
      <w:pPr>
        <w:pStyle w:val="ListParagraph"/>
        <w:numPr>
          <w:ilvl w:val="0"/>
          <w:numId w:val="2"/>
        </w:numPr>
        <w:spacing w:after="80" w:line="300"/>
      </w:pPr>
      <w:r>
        <w:rPr>
          <w:color w:val="1F2937"/>
          <w:sz w:val="22"/>
          <w:szCs w:val="22"/>
        </w:rPr>
        <w:t xml:space="preserve">Sponsor's general counsel — interfaces with Nest's Legal and Compliance Desk</w:t>
      </w:r>
    </w:p>
    <w:p>
      <w:pPr>
        <w:pStyle w:val="ListParagraph"/>
        <w:numPr>
          <w:ilvl w:val="0"/>
          <w:numId w:val="2"/>
        </w:numPr>
        <w:spacing w:after="80" w:line="300"/>
      </w:pPr>
      <w:r>
        <w:rPr>
          <w:color w:val="1F2937"/>
          <w:sz w:val="22"/>
          <w:szCs w:val="22"/>
        </w:rPr>
        <w:t xml:space="preserve">Sponsor's portfolio operations team — interfaces with Nest's Operations Desk for post-closing administration</w:t>
      </w:r>
    </w:p>
    <w:p>
      <w:pPr>
        <w:pStyle w:val="ListParagraph"/>
        <w:numPr>
          <w:ilvl w:val="0"/>
          <w:numId w:val="2"/>
        </w:numPr>
        <w:spacing w:after="80" w:line="300"/>
      </w:pPr>
      <w:r>
        <w:rPr>
          <w:color w:val="1F2937"/>
          <w:sz w:val="22"/>
          <w:szCs w:val="22"/>
        </w:rPr>
        <w:t xml:space="preserve">Acquirer's outside counsel — interfaces with Nest's Documents Desk and external bond counsel</w:t>
      </w:r>
    </w:p>
    <w:p>
      <w:pPr>
        <w:spacing w:after="80" w:before="180"/>
      </w:pPr>
      <w:r>
        <w:rPr>
          <w:b/>
          <w:bCs/>
          <w:i/>
          <w:iCs/>
          <w:color w:val="374151"/>
          <w:sz w:val="22"/>
          <w:szCs w:val="22"/>
        </w:rPr>
        <w:t xml:space="preserve">Target Side</w:t>
      </w:r>
    </w:p>
    <w:p>
      <w:pPr>
        <w:pStyle w:val="ListParagraph"/>
        <w:numPr>
          <w:ilvl w:val="0"/>
          <w:numId w:val="2"/>
        </w:numPr>
        <w:spacing w:after="80" w:line="300"/>
      </w:pPr>
      <w:r>
        <w:rPr>
          <w:color w:val="1F2937"/>
          <w:sz w:val="22"/>
          <w:szCs w:val="22"/>
        </w:rPr>
        <w:t xml:space="preserve">Target management team — does not directly interact with Nest pre-close; post-close becomes the operating team Nest works with through Operations and Surveillance Desks</w:t>
      </w:r>
    </w:p>
    <w:p>
      <w:pPr>
        <w:pStyle w:val="ListParagraph"/>
        <w:numPr>
          <w:ilvl w:val="0"/>
          <w:numId w:val="2"/>
        </w:numPr>
        <w:spacing w:after="80" w:line="300"/>
      </w:pPr>
      <w:r>
        <w:rPr>
          <w:color w:val="1F2937"/>
          <w:sz w:val="22"/>
          <w:szCs w:val="22"/>
        </w:rPr>
        <w:t xml:space="preserve">Target's sell-side advisor (if any) — typically not Nest's direct counterparty; the acquirer manages this relationship</w:t>
      </w:r>
    </w:p>
    <w:p>
      <w:pPr>
        <w:pStyle w:val="ListParagraph"/>
        <w:numPr>
          <w:ilvl w:val="0"/>
          <w:numId w:val="2"/>
        </w:numPr>
        <w:spacing w:after="80" w:line="300"/>
      </w:pPr>
      <w:r>
        <w:rPr>
          <w:color w:val="1F2937"/>
          <w:sz w:val="22"/>
          <w:szCs w:val="22"/>
        </w:rPr>
        <w:t xml:space="preserve">Target's outside counsel — interfaces with Nest's Documents Desk on definitive agreement coordination</w:t>
      </w:r>
    </w:p>
    <w:p>
      <w:pPr>
        <w:spacing w:after="80" w:before="180"/>
      </w:pPr>
      <w:r>
        <w:rPr>
          <w:b/>
          <w:bCs/>
          <w:i/>
          <w:iCs/>
          <w:color w:val="374151"/>
          <w:sz w:val="22"/>
          <w:szCs w:val="22"/>
        </w:rPr>
        <w:t xml:space="preserve">Diligence Providers</w:t>
      </w:r>
    </w:p>
    <w:p>
      <w:pPr>
        <w:pStyle w:val="ListParagraph"/>
        <w:numPr>
          <w:ilvl w:val="0"/>
          <w:numId w:val="2"/>
        </w:numPr>
        <w:spacing w:after="80" w:line="300"/>
      </w:pPr>
      <w:r>
        <w:rPr>
          <w:color w:val="1F2937"/>
          <w:sz w:val="22"/>
          <w:szCs w:val="22"/>
        </w:rPr>
        <w:t xml:space="preserve">Buy-side QofE firm — engaged by the acquirer; Nest's Credit Underwriting Desk reviews and relies on the QofE</w:t>
      </w:r>
    </w:p>
    <w:p>
      <w:pPr>
        <w:pStyle w:val="ListParagraph"/>
        <w:numPr>
          <w:ilvl w:val="0"/>
          <w:numId w:val="2"/>
        </w:numPr>
        <w:spacing w:after="80" w:line="300"/>
      </w:pPr>
      <w:r>
        <w:rPr>
          <w:color w:val="1F2937"/>
          <w:sz w:val="22"/>
          <w:szCs w:val="22"/>
        </w:rPr>
        <w:t xml:space="preserve">Legal diligence firm — provides legal diligence report; Nest's Legal and Compliance Desk reviews</w:t>
      </w:r>
    </w:p>
    <w:p>
      <w:pPr>
        <w:pStyle w:val="ListParagraph"/>
        <w:numPr>
          <w:ilvl w:val="0"/>
          <w:numId w:val="2"/>
        </w:numPr>
        <w:spacing w:after="80" w:line="300"/>
      </w:pPr>
      <w:r>
        <w:rPr>
          <w:color w:val="1F2937"/>
          <w:sz w:val="22"/>
          <w:szCs w:val="22"/>
        </w:rPr>
        <w:t xml:space="preserve">Other diligence providers — tax, environmental, IT, regulatory; reviewed by relevant Nest agents</w:t>
      </w:r>
    </w:p>
    <w:p>
      <w:pPr>
        <w:spacing w:after="80" w:before="180"/>
      </w:pPr>
      <w:r>
        <w:rPr>
          <w:b/>
          <w:bCs/>
          <w:i/>
          <w:iCs/>
          <w:color w:val="374151"/>
          <w:sz w:val="22"/>
          <w:szCs w:val="22"/>
        </w:rPr>
        <w:t xml:space="preserve">Insurance and Enhancement Counterparties</w:t>
      </w:r>
    </w:p>
    <w:p>
      <w:pPr>
        <w:pStyle w:val="ListParagraph"/>
        <w:numPr>
          <w:ilvl w:val="0"/>
          <w:numId w:val="2"/>
        </w:numPr>
        <w:spacing w:after="80" w:line="300"/>
      </w:pPr>
      <w:r>
        <w:rPr>
          <w:color w:val="1F2937"/>
          <w:sz w:val="22"/>
          <w:szCs w:val="22"/>
        </w:rPr>
        <w:t xml:space="preserve">R&amp;W insurer (if applicable) — placement coordinated by the acquirer; Nest reviews</w:t>
      </w:r>
    </w:p>
    <w:p>
      <w:pPr>
        <w:pStyle w:val="ListParagraph"/>
        <w:numPr>
          <w:ilvl w:val="0"/>
          <w:numId w:val="2"/>
        </w:numPr>
        <w:spacing w:after="80" w:line="300"/>
      </w:pPr>
      <w:r>
        <w:rPr>
          <w:color w:val="1F2937"/>
          <w:sz w:val="22"/>
          <w:szCs w:val="22"/>
        </w:rPr>
        <w:t xml:space="preserve">LC bank (if applicable) — direct counterparty to Nest's Insurance/Surety/Credit Enhancement Desk</w:t>
      </w:r>
    </w:p>
    <w:p>
      <w:pPr>
        <w:pStyle w:val="ListParagraph"/>
        <w:numPr>
          <w:ilvl w:val="0"/>
          <w:numId w:val="2"/>
        </w:numPr>
        <w:spacing w:after="80" w:line="300"/>
      </w:pPr>
      <w:r>
        <w:rPr>
          <w:color w:val="1F2937"/>
          <w:sz w:val="22"/>
          <w:szCs w:val="22"/>
        </w:rPr>
        <w:t xml:space="preserve">Bond insurer (if applicable, rare in M&amp;A acquisition bonds) — direct counterparty</w:t>
      </w:r>
    </w:p>
    <w:p>
      <w:pPr>
        <w:spacing w:after="80" w:before="180"/>
      </w:pPr>
      <w:r>
        <w:rPr>
          <w:b/>
          <w:bCs/>
          <w:i/>
          <w:iCs/>
          <w:color w:val="374151"/>
          <w:sz w:val="22"/>
          <w:szCs w:val="22"/>
        </w:rPr>
        <w:t xml:space="preserve">Bond Market Counterparties</w:t>
      </w:r>
    </w:p>
    <w:p>
      <w:pPr>
        <w:pStyle w:val="ListParagraph"/>
        <w:numPr>
          <w:ilvl w:val="0"/>
          <w:numId w:val="2"/>
        </w:numPr>
        <w:spacing w:after="80" w:line="300"/>
      </w:pPr>
      <w:r>
        <w:rPr>
          <w:color w:val="1F2937"/>
          <w:sz w:val="22"/>
          <w:szCs w:val="22"/>
        </w:rPr>
        <w:t xml:space="preserve">BD partner — direct counterparty to Nest's Placement Desk</w:t>
      </w:r>
    </w:p>
    <w:p>
      <w:pPr>
        <w:pStyle w:val="ListParagraph"/>
        <w:numPr>
          <w:ilvl w:val="0"/>
          <w:numId w:val="2"/>
        </w:numPr>
        <w:spacing w:after="80" w:line="300"/>
      </w:pPr>
      <w:r>
        <w:rPr>
          <w:color w:val="1F2937"/>
          <w:sz w:val="22"/>
          <w:szCs w:val="22"/>
        </w:rPr>
        <w:t xml:space="preserve">Institutional bond buyers — counterparties through the BD partner; Nest's Night Vision maintains buyer pool intelligence</w:t>
      </w:r>
    </w:p>
    <w:p>
      <w:pPr>
        <w:pStyle w:val="ListParagraph"/>
        <w:numPr>
          <w:ilvl w:val="0"/>
          <w:numId w:val="2"/>
        </w:numPr>
        <w:spacing w:after="80" w:line="300"/>
      </w:pPr>
      <w:r>
        <w:rPr>
          <w:color w:val="1F2937"/>
          <w:sz w:val="22"/>
          <w:szCs w:val="22"/>
        </w:rPr>
        <w:t xml:space="preserve">Trustee — direct counterparty to Nest's Trustee Liaison Desk; ongoing relationship for the bond's life</w:t>
      </w:r>
    </w:p>
    <w:p>
      <w:pPr>
        <w:pStyle w:val="ListParagraph"/>
        <w:numPr>
          <w:ilvl w:val="0"/>
          <w:numId w:val="2"/>
        </w:numPr>
        <w:spacing w:after="80" w:line="300"/>
      </w:pPr>
      <w:r>
        <w:rPr>
          <w:color w:val="1F2937"/>
          <w:sz w:val="22"/>
          <w:szCs w:val="22"/>
        </w:rPr>
        <w:t xml:space="preserve">Bond counsel — direct counterparty to Nest's Documents Desk and Legal and Compliance Desk</w:t>
      </w:r>
    </w:p>
    <w:p>
      <w:pPr>
        <w:spacing w:after="80" w:before="180"/>
      </w:pPr>
      <w:r>
        <w:rPr>
          <w:b/>
          <w:bCs/>
          <w:i/>
          <w:iCs/>
          <w:color w:val="374151"/>
          <w:sz w:val="22"/>
          <w:szCs w:val="22"/>
        </w:rPr>
        <w:t xml:space="preserve">Rating Agencies</w:t>
      </w:r>
    </w:p>
    <w:p>
      <w:pPr>
        <w:pStyle w:val="ListParagraph"/>
        <w:numPr>
          <w:ilvl w:val="0"/>
          <w:numId w:val="2"/>
        </w:numPr>
        <w:spacing w:after="80" w:line="300"/>
      </w:pPr>
      <w:r>
        <w:rPr>
          <w:color w:val="1F2937"/>
          <w:sz w:val="22"/>
          <w:szCs w:val="22"/>
        </w:rPr>
        <w:t xml:space="preserve">Moody's analyst (per the M&amp;A rating engagement) — direct counterparty to Nest's Rating Committee Liaison Agent</w:t>
      </w:r>
    </w:p>
    <w:p>
      <w:pPr>
        <w:pStyle w:val="ListParagraph"/>
        <w:numPr>
          <w:ilvl w:val="0"/>
          <w:numId w:val="2"/>
        </w:numPr>
        <w:spacing w:after="80" w:line="300"/>
      </w:pPr>
      <w:r>
        <w:rPr>
          <w:color w:val="1F2937"/>
          <w:sz w:val="22"/>
          <w:szCs w:val="22"/>
        </w:rPr>
        <w:t xml:space="preserve">S&amp;P analyst (per the M&amp;A rating engagement) — direct counterparty to Nest's Rating Committee Liaison Agent</w:t>
      </w:r>
    </w:p>
    <w:p>
      <w:pPr>
        <w:spacing w:after="140" w:line="320"/>
        <w:jc w:val="both"/>
      </w:pPr>
      <w:r>
        <w:rPr>
          <w:color w:val="1F2937"/>
          <w:sz w:val="22"/>
          <w:szCs w:val="22"/>
        </w:rPr>
        <w:t xml:space="preserve">Every counterparty role has its corresponding interface inside Nest. The agent at the Nest end of each interface speaks the counterparty's language, follows the counterparty's workflow conventions, and produces the deliverables in the format the counterparty expects. This is the mirroring principle in action — the agent workforce is configured to look, from the counterparty's perspective, like the institutional team they expect to interact with.</w:t>
      </w:r>
    </w:p>
    <w:p>
      <w:pPr>
        <w:pStyle w:val="Heading3"/>
        <w:spacing w:after="120" w:before="240"/>
      </w:pPr>
      <w:r>
        <w:rPr>
          <w:b/>
          <w:bCs/>
          <w:color w:val="374151"/>
          <w:sz w:val="24"/>
          <w:szCs w:val="24"/>
        </w:rPr>
        <w:t xml:space="preserve">9.3 Where the Two Principals Plug In</w:t>
      </w:r>
    </w:p>
    <w:p>
      <w:pPr>
        <w:spacing w:after="140" w:line="320"/>
        <w:jc w:val="both"/>
      </w:pPr>
      <w:r>
        <w:rPr>
          <w:color w:val="1F2937"/>
          <w:sz w:val="22"/>
          <w:szCs w:val="22"/>
        </w:rPr>
        <w:t xml:space="preserve">Per the firm's permanent two-principal structure (Operating Framework Part 4.15), Sean and Josh handle the relationship and judgment layer of every M&amp;A acquisition bond deal. Specifically:</w:t>
      </w:r>
    </w:p>
    <w:p>
      <w:pPr>
        <w:pStyle w:val="ListParagraph"/>
        <w:numPr>
          <w:ilvl w:val="0"/>
          <w:numId w:val="2"/>
        </w:numPr>
        <w:spacing w:after="80" w:line="300"/>
      </w:pPr>
      <w:r>
        <w:rPr>
          <w:color w:val="1F2937"/>
          <w:sz w:val="22"/>
          <w:szCs w:val="22"/>
        </w:rPr>
        <w:t xml:space="preserve">Sponsor relationship — the principals own the senior-level relationships with PE firms and family offices that produce repeat deal flow</w:t>
      </w:r>
    </w:p>
    <w:p>
      <w:pPr>
        <w:pStyle w:val="ListParagraph"/>
        <w:numPr>
          <w:ilvl w:val="0"/>
          <w:numId w:val="2"/>
        </w:numPr>
        <w:spacing w:after="80" w:line="300"/>
      </w:pPr>
      <w:r>
        <w:rPr>
          <w:color w:val="1F2937"/>
          <w:sz w:val="22"/>
          <w:szCs w:val="22"/>
        </w:rPr>
        <w:t xml:space="preserve">Engagement letter and fee negotiation — the principals close the engagement with each acquirer</w:t>
      </w:r>
    </w:p>
    <w:p>
      <w:pPr>
        <w:pStyle w:val="ListParagraph"/>
        <w:numPr>
          <w:ilvl w:val="0"/>
          <w:numId w:val="2"/>
        </w:numPr>
        <w:spacing w:after="80" w:line="300"/>
      </w:pPr>
      <w:r>
        <w:rPr>
          <w:color w:val="1F2937"/>
          <w:sz w:val="22"/>
          <w:szCs w:val="22"/>
        </w:rPr>
        <w:t xml:space="preserve">Credit committee approval — the principals (with Orca's In-House Counsel/Chief Compliance Officer Agent) approve every M&amp;A acquisition bond at credit committee</w:t>
      </w:r>
    </w:p>
    <w:p>
      <w:pPr>
        <w:pStyle w:val="ListParagraph"/>
        <w:numPr>
          <w:ilvl w:val="0"/>
          <w:numId w:val="2"/>
        </w:numPr>
        <w:spacing w:after="80" w:line="300"/>
      </w:pPr>
      <w:r>
        <w:rPr>
          <w:color w:val="1F2937"/>
          <w:sz w:val="22"/>
          <w:szCs w:val="22"/>
        </w:rPr>
        <w:t xml:space="preserve">Rating agency engagement at the senior level — the principals lead the rating presentations</w:t>
      </w:r>
    </w:p>
    <w:p>
      <w:pPr>
        <w:pStyle w:val="ListParagraph"/>
        <w:numPr>
          <w:ilvl w:val="0"/>
          <w:numId w:val="2"/>
        </w:numPr>
        <w:spacing w:after="80" w:line="300"/>
      </w:pPr>
      <w:r>
        <w:rPr>
          <w:color w:val="1F2937"/>
          <w:sz w:val="22"/>
          <w:szCs w:val="22"/>
        </w:rPr>
        <w:t xml:space="preserve">Bond pricing decisions at pricing — the principals approve final pricing</w:t>
      </w:r>
    </w:p>
    <w:p>
      <w:pPr>
        <w:pStyle w:val="ListParagraph"/>
        <w:numPr>
          <w:ilvl w:val="0"/>
          <w:numId w:val="2"/>
        </w:numPr>
        <w:spacing w:after="80" w:line="300"/>
      </w:pPr>
      <w:r>
        <w:rPr>
          <w:color w:val="1F2937"/>
          <w:sz w:val="22"/>
          <w:szCs w:val="22"/>
        </w:rPr>
        <w:t xml:space="preserve">Workout situations — when M&amp;A acquisition bonds enter distress, the principals lead the workout strategy alongside the Workout Support Agent on the Surveillance Desk</w:t>
      </w:r>
    </w:p>
    <w:p>
      <w:pPr>
        <w:spacing w:after="140" w:line="320"/>
        <w:jc w:val="both"/>
      </w:pPr>
      <w:r>
        <w:rPr>
          <w:color w:val="1F2937"/>
          <w:sz w:val="22"/>
          <w:szCs w:val="22"/>
        </w:rPr>
        <w:t xml:space="preserve">The agent workforce handles everything else. The principals see only the decision points and the senior relationship moments. The operational machinery — credit memo production, document drafting, working group coordination, pricing analysis, buyer outreach, ongoing administration — runs through the agents.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10. Closing the M&amp;A Acquisition Bond Use Case Module</w:t>
      </w:r>
    </w:p>
    <w:p>
      <w:pPr>
        <w:spacing w:after="140" w:line="320"/>
        <w:jc w:val="both"/>
      </w:pPr>
      <w:r>
        <w:rPr>
          <w:color w:val="1F2937"/>
          <w:sz w:val="22"/>
          <w:szCs w:val="22"/>
        </w:rPr>
        <w:t xml:space="preserve">This module establishes M&amp;A acquisition bonds as a distinct use case within Nest Bond. The bond product, the math, the documents, the platform architecture, and the organizational mirror are all calibrated to the M&amp;A use case while drawing on the universal bond mechanics covered in the existing Bond Bible (Pass 1) and operating within the firm's organizational structure as defined in the Nest Operating Framework v1.</w:t>
      </w:r>
    </w:p>
    <w:p>
      <w:pPr>
        <w:spacing w:after="140" w:line="320"/>
        <w:jc w:val="both"/>
      </w:pPr>
      <w:r>
        <w:rPr>
          <w:color w:val="1F2937"/>
          <w:sz w:val="22"/>
          <w:szCs w:val="22"/>
        </w:rPr>
        <w:t xml:space="preserve">The companion use case modules — construction and development bonds, working capital bonds, equipment bonds, real estate acquisition and stabilization bonds — follow the same six-layer template: use case framing, glossary, ingestion process, documents, the math, the bond product layer, the tech stack layer, and the organizational mirror. Each use case is its own structuring discipline with its own overlay on the universal bond infrastructure.</w:t>
      </w:r>
    </w:p>
    <w:p>
      <w:pPr>
        <w:spacing w:after="140" w:line="320"/>
        <w:jc w:val="both"/>
      </w:pPr>
      <w:r>
        <w:rPr>
          <w:color w:val="1F2937"/>
          <w:sz w:val="22"/>
          <w:szCs w:val="22"/>
        </w:rPr>
        <w:t xml:space="preserve">Nest IB — the buy-side and sell-side IB process work — is a separate line of business documented separately. Nest IB uses Nest Bond as a tool when M&amp;A acquisition financing is part of the IB engagement, but it is its own product with its own workflow.</w:t>
      </w:r>
    </w:p>
    <w:p>
      <w:pPr>
        <w:spacing w:after="120" w:before="120" w:line="320"/>
        <w:ind w:left="600" w:right="200"/>
        <w:jc w:val="both"/>
      </w:pPr>
      <w:r>
        <w:rPr>
          <w:i/>
          <w:iCs/>
          <w:color w:val="374151"/>
          <w:sz w:val="22"/>
          <w:szCs w:val="22"/>
        </w:rPr>
        <w:t xml:space="preserve">M&amp;A acquisition bonds are the structural solution to the financing gap that bank syndicated debt creates and that PE dilution exploits. The acquirer keeps equity. The structure fits the integration timeline. The covenants are set once. The bondholders are the right kind of capital for the right kind of asset. This is not new bond technology — it is bond technology pointed at the part of the M&amp;A market that today gets bad financing or no financing at all. Nest is the firm that brings it to that market at institutional execution quality with the cost structure of two principals plus a platform.</w:t>
      </w:r>
    </w:p>
    <w:p>
      <w:pPr>
        <w:pBdr>
          <w:bottom w:val="single" w:color="B8860B" w:sz="6" w:space="4"/>
        </w:pBdr>
        <w:spacing w:after="120" w:before="12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Nest Advisors   |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Nest Bond Use Case Manual — Chapter 1: M&amp;A Acquisition Bonds</w:t>
    </w:r>
    <w:r>
      <w:rPr>
        <w:i/>
        <w:i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 Bond Use Case Manual — Chapter 1: M&amp;A Acquisition Bonds</dc:title>
  <dc:creator>Nest Advisors</dc:creator>
  <dc:description>M&amp;A acquisition bond structuring profile, tech stack, and organizational mirror</dc:description>
  <cp:lastModifiedBy>Un-named</cp:lastModifiedBy>
  <cp:revision>1</cp:revision>
  <dcterms:created xsi:type="dcterms:W3CDTF">2026-05-25T17:48:35.600Z</dcterms:created>
  <dcterms:modified xsi:type="dcterms:W3CDTF">2026-05-25T17:48:35.615Z</dcterms:modified>
</cp:coreProperties>
</file>

<file path=docProps/custom.xml><?xml version="1.0" encoding="utf-8"?>
<Properties xmlns="http://schemas.openxmlformats.org/officeDocument/2006/custom-properties" xmlns:vt="http://schemas.openxmlformats.org/officeDocument/2006/docPropsVTypes"/>
</file>