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9D10F" w14:textId="77777777" w:rsidR="0057068F" w:rsidRPr="0057068F" w:rsidRDefault="0057068F" w:rsidP="0057068F">
      <w:pPr>
        <w:rPr>
          <w:rFonts w:ascii="Calibri" w:hAnsi="Calibri" w:cs="Calibri"/>
          <w:b/>
          <w:bCs/>
          <w:sz w:val="20"/>
          <w:szCs w:val="20"/>
        </w:rPr>
      </w:pPr>
      <w:r w:rsidRPr="0057068F">
        <w:rPr>
          <w:rFonts w:ascii="Calibri" w:hAnsi="Calibri" w:cs="Calibri"/>
          <w:b/>
          <w:bCs/>
          <w:sz w:val="20"/>
          <w:szCs w:val="20"/>
        </w:rPr>
        <w:t>MEMORANDUM</w:t>
      </w:r>
    </w:p>
    <w:p w14:paraId="2F162695" w14:textId="0918B0E1" w:rsidR="0057068F" w:rsidRPr="0057068F" w:rsidRDefault="0057068F" w:rsidP="0057068F">
      <w:pPr>
        <w:rPr>
          <w:rFonts w:ascii="Calibri" w:hAnsi="Calibri" w:cs="Calibri"/>
          <w:sz w:val="20"/>
          <w:szCs w:val="20"/>
        </w:rPr>
      </w:pPr>
      <w:r w:rsidRPr="0057068F">
        <w:rPr>
          <w:rFonts w:ascii="Calibri" w:hAnsi="Calibri" w:cs="Calibri"/>
          <w:b/>
          <w:bCs/>
          <w:sz w:val="20"/>
          <w:szCs w:val="20"/>
        </w:rPr>
        <w:t>To:</w:t>
      </w:r>
      <w:r w:rsidRPr="0057068F">
        <w:rPr>
          <w:rFonts w:ascii="Calibri" w:hAnsi="Calibri" w:cs="Calibri"/>
          <w:sz w:val="20"/>
          <w:szCs w:val="20"/>
        </w:rPr>
        <w:t xml:space="preserve"> </w:t>
      </w:r>
      <w:r>
        <w:rPr>
          <w:rFonts w:ascii="Calibri" w:hAnsi="Calibri" w:cs="Calibri"/>
          <w:sz w:val="20"/>
          <w:szCs w:val="20"/>
        </w:rPr>
        <w:t>xxx</w:t>
      </w:r>
    </w:p>
    <w:p w14:paraId="7FD2FEF6" w14:textId="5C852D80" w:rsidR="0057068F" w:rsidRPr="0057068F" w:rsidRDefault="0057068F" w:rsidP="0057068F">
      <w:pPr>
        <w:rPr>
          <w:rFonts w:ascii="Calibri" w:hAnsi="Calibri" w:cs="Calibri"/>
          <w:sz w:val="20"/>
          <w:szCs w:val="20"/>
        </w:rPr>
      </w:pPr>
      <w:r w:rsidRPr="0057068F">
        <w:rPr>
          <w:rFonts w:ascii="Calibri" w:hAnsi="Calibri" w:cs="Calibri"/>
          <w:b/>
          <w:bCs/>
          <w:sz w:val="20"/>
          <w:szCs w:val="20"/>
        </w:rPr>
        <w:t>From:</w:t>
      </w:r>
      <w:r w:rsidRPr="0057068F">
        <w:rPr>
          <w:rFonts w:ascii="Calibri" w:hAnsi="Calibri" w:cs="Calibri"/>
          <w:sz w:val="20"/>
          <w:szCs w:val="20"/>
        </w:rPr>
        <w:t xml:space="preserve"> </w:t>
      </w:r>
      <w:r>
        <w:rPr>
          <w:rFonts w:ascii="Calibri" w:hAnsi="Calibri" w:cs="Calibri"/>
          <w:sz w:val="20"/>
          <w:szCs w:val="20"/>
        </w:rPr>
        <w:t>Busra Akkaya</w:t>
      </w:r>
    </w:p>
    <w:p w14:paraId="5C8C2597" w14:textId="738E5816" w:rsidR="0057068F" w:rsidRPr="0057068F" w:rsidRDefault="0057068F" w:rsidP="0057068F">
      <w:pPr>
        <w:rPr>
          <w:rFonts w:ascii="Calibri" w:hAnsi="Calibri" w:cs="Calibri"/>
          <w:sz w:val="20"/>
          <w:szCs w:val="20"/>
        </w:rPr>
      </w:pPr>
      <w:r w:rsidRPr="0057068F">
        <w:rPr>
          <w:rFonts w:ascii="Calibri" w:hAnsi="Calibri" w:cs="Calibri"/>
          <w:b/>
          <w:bCs/>
          <w:sz w:val="20"/>
          <w:szCs w:val="20"/>
        </w:rPr>
        <w:t>Date:</w:t>
      </w:r>
      <w:r w:rsidRPr="0057068F">
        <w:rPr>
          <w:rFonts w:ascii="Calibri" w:hAnsi="Calibri" w:cs="Calibri"/>
          <w:sz w:val="20"/>
          <w:szCs w:val="20"/>
        </w:rPr>
        <w:t xml:space="preserve"> </w:t>
      </w:r>
      <w:r>
        <w:rPr>
          <w:rFonts w:ascii="Calibri" w:hAnsi="Calibri" w:cs="Calibri"/>
          <w:sz w:val="20"/>
          <w:szCs w:val="20"/>
        </w:rPr>
        <w:t xml:space="preserve">15 </w:t>
      </w:r>
      <w:r w:rsidRPr="0057068F">
        <w:rPr>
          <w:rFonts w:ascii="Calibri" w:hAnsi="Calibri" w:cs="Calibri"/>
          <w:sz w:val="20"/>
          <w:szCs w:val="20"/>
        </w:rPr>
        <w:t>June 2026</w:t>
      </w:r>
    </w:p>
    <w:p w14:paraId="078B065F" w14:textId="77777777" w:rsidR="0057068F" w:rsidRPr="0057068F" w:rsidRDefault="0057068F" w:rsidP="0057068F">
      <w:pPr>
        <w:rPr>
          <w:rFonts w:ascii="Calibri" w:hAnsi="Calibri" w:cs="Calibri"/>
          <w:sz w:val="20"/>
          <w:szCs w:val="20"/>
        </w:rPr>
      </w:pPr>
      <w:r w:rsidRPr="0057068F">
        <w:rPr>
          <w:rFonts w:ascii="Calibri" w:hAnsi="Calibri" w:cs="Calibri"/>
          <w:b/>
          <w:bCs/>
          <w:sz w:val="20"/>
          <w:szCs w:val="20"/>
        </w:rPr>
        <w:t>Subject:</w:t>
      </w:r>
      <w:r w:rsidRPr="0057068F">
        <w:rPr>
          <w:rFonts w:ascii="Calibri" w:hAnsi="Calibri" w:cs="Calibri"/>
          <w:sz w:val="20"/>
          <w:szCs w:val="20"/>
        </w:rPr>
        <w:t xml:space="preserve"> Performance and Risk Analysis of Apple, Microsoft, and Tesla</w:t>
      </w:r>
    </w:p>
    <w:p w14:paraId="7B802F4B" w14:textId="77777777" w:rsidR="0057068F" w:rsidRPr="0057068F" w:rsidRDefault="0057068F" w:rsidP="0057068F">
      <w:pPr>
        <w:rPr>
          <w:rFonts w:ascii="Calibri" w:hAnsi="Calibri" w:cs="Calibri"/>
          <w:b/>
          <w:bCs/>
          <w:sz w:val="20"/>
          <w:szCs w:val="20"/>
        </w:rPr>
      </w:pPr>
      <w:r w:rsidRPr="0057068F">
        <w:rPr>
          <w:rFonts w:ascii="Calibri" w:hAnsi="Calibri" w:cs="Calibri"/>
          <w:b/>
          <w:bCs/>
          <w:sz w:val="20"/>
          <w:szCs w:val="20"/>
        </w:rPr>
        <w:t>Purpose</w:t>
      </w:r>
    </w:p>
    <w:p w14:paraId="7FA346B4" w14:textId="77777777" w:rsidR="0057068F" w:rsidRPr="0057068F" w:rsidRDefault="0057068F" w:rsidP="0057068F">
      <w:pPr>
        <w:rPr>
          <w:rFonts w:ascii="Calibri" w:hAnsi="Calibri" w:cs="Calibri"/>
          <w:sz w:val="20"/>
          <w:szCs w:val="20"/>
        </w:rPr>
      </w:pPr>
      <w:r w:rsidRPr="0057068F">
        <w:rPr>
          <w:rFonts w:ascii="Calibri" w:hAnsi="Calibri" w:cs="Calibri"/>
          <w:sz w:val="20"/>
          <w:szCs w:val="20"/>
        </w:rPr>
        <w:t>The purpose of this analysis was to evaluate the historical performance, risk characteristics, and diversification benefits of Apple (AAPL), Microsoft (MSFT), and Tesla (TSLA) using market data from January 2023 through June 2026.</w:t>
      </w:r>
    </w:p>
    <w:p w14:paraId="35DC6E56" w14:textId="77777777" w:rsidR="0057068F" w:rsidRPr="0057068F" w:rsidRDefault="0057068F" w:rsidP="0057068F">
      <w:pPr>
        <w:rPr>
          <w:rFonts w:ascii="Calibri" w:hAnsi="Calibri" w:cs="Calibri"/>
          <w:b/>
          <w:bCs/>
          <w:sz w:val="20"/>
          <w:szCs w:val="20"/>
        </w:rPr>
      </w:pPr>
      <w:r w:rsidRPr="0057068F">
        <w:rPr>
          <w:rFonts w:ascii="Calibri" w:hAnsi="Calibri" w:cs="Calibri"/>
          <w:b/>
          <w:bCs/>
          <w:sz w:val="20"/>
          <w:szCs w:val="20"/>
        </w:rPr>
        <w:t>Methodology</w:t>
      </w:r>
    </w:p>
    <w:p w14:paraId="6481B853" w14:textId="53D53190" w:rsidR="0057068F" w:rsidRPr="0057068F" w:rsidRDefault="0057068F" w:rsidP="0057068F">
      <w:pPr>
        <w:rPr>
          <w:rFonts w:ascii="Calibri" w:hAnsi="Calibri" w:cs="Calibri"/>
          <w:sz w:val="20"/>
          <w:szCs w:val="20"/>
        </w:rPr>
      </w:pPr>
      <w:r w:rsidRPr="0057068F">
        <w:rPr>
          <w:rFonts w:ascii="Calibri" w:hAnsi="Calibri" w:cs="Calibri"/>
          <w:sz w:val="20"/>
          <w:szCs w:val="20"/>
        </w:rPr>
        <w:t xml:space="preserve">Historical adjusted closing prices were obtained using the </w:t>
      </w:r>
      <w:proofErr w:type="spellStart"/>
      <w:r w:rsidRPr="0057068F">
        <w:rPr>
          <w:rFonts w:ascii="Calibri" w:hAnsi="Calibri" w:cs="Calibri"/>
          <w:sz w:val="20"/>
          <w:szCs w:val="20"/>
        </w:rPr>
        <w:t>yfinance</w:t>
      </w:r>
      <w:proofErr w:type="spellEnd"/>
      <w:r w:rsidRPr="0057068F">
        <w:rPr>
          <w:rFonts w:ascii="Calibri" w:hAnsi="Calibri" w:cs="Calibri"/>
          <w:sz w:val="20"/>
          <w:szCs w:val="20"/>
        </w:rPr>
        <w:t xml:space="preserve"> Python package. Daily returns were calculated and used to </w:t>
      </w:r>
      <w:r w:rsidRPr="0057068F">
        <w:rPr>
          <w:rFonts w:ascii="Calibri" w:hAnsi="Calibri" w:cs="Calibri"/>
          <w:sz w:val="20"/>
          <w:szCs w:val="20"/>
        </w:rPr>
        <w:t>analyse</w:t>
      </w:r>
      <w:r w:rsidRPr="0057068F">
        <w:rPr>
          <w:rFonts w:ascii="Calibri" w:hAnsi="Calibri" w:cs="Calibri"/>
          <w:sz w:val="20"/>
          <w:szCs w:val="20"/>
        </w:rPr>
        <w:t xml:space="preserve"> cumulative performance, annualized volatility, correlations, and Sharpe ratios.</w:t>
      </w:r>
    </w:p>
    <w:p w14:paraId="5F89353F" w14:textId="77777777" w:rsidR="0057068F" w:rsidRPr="0057068F" w:rsidRDefault="0057068F" w:rsidP="0057068F">
      <w:pPr>
        <w:rPr>
          <w:rFonts w:ascii="Calibri" w:hAnsi="Calibri" w:cs="Calibri"/>
          <w:b/>
          <w:bCs/>
          <w:sz w:val="20"/>
          <w:szCs w:val="20"/>
        </w:rPr>
      </w:pPr>
      <w:r w:rsidRPr="0057068F">
        <w:rPr>
          <w:rFonts w:ascii="Calibri" w:hAnsi="Calibri" w:cs="Calibri"/>
          <w:b/>
          <w:bCs/>
          <w:sz w:val="20"/>
          <w:szCs w:val="20"/>
        </w:rPr>
        <w:t>Key Findings</w:t>
      </w:r>
    </w:p>
    <w:p w14:paraId="2DCC9DB6" w14:textId="77777777" w:rsidR="0057068F" w:rsidRPr="0057068F" w:rsidRDefault="0057068F" w:rsidP="0057068F">
      <w:pPr>
        <w:numPr>
          <w:ilvl w:val="0"/>
          <w:numId w:val="1"/>
        </w:numPr>
        <w:rPr>
          <w:rFonts w:ascii="Calibri" w:hAnsi="Calibri" w:cs="Calibri"/>
          <w:b/>
          <w:bCs/>
          <w:sz w:val="20"/>
          <w:szCs w:val="20"/>
        </w:rPr>
      </w:pPr>
      <w:r w:rsidRPr="0057068F">
        <w:rPr>
          <w:rFonts w:ascii="Calibri" w:hAnsi="Calibri" w:cs="Calibri"/>
          <w:b/>
          <w:bCs/>
          <w:sz w:val="20"/>
          <w:szCs w:val="20"/>
        </w:rPr>
        <w:t>Performance</w:t>
      </w:r>
    </w:p>
    <w:p w14:paraId="1DCB1135" w14:textId="77777777" w:rsidR="0057068F" w:rsidRPr="0057068F" w:rsidRDefault="0057068F" w:rsidP="0057068F">
      <w:pPr>
        <w:rPr>
          <w:rFonts w:ascii="Calibri" w:hAnsi="Calibri" w:cs="Calibri"/>
          <w:sz w:val="20"/>
          <w:szCs w:val="20"/>
        </w:rPr>
      </w:pPr>
      <w:r w:rsidRPr="0057068F">
        <w:rPr>
          <w:rFonts w:ascii="Calibri" w:hAnsi="Calibri" w:cs="Calibri"/>
          <w:sz w:val="20"/>
          <w:szCs w:val="20"/>
        </w:rPr>
        <w:t>Tesla generated the highest cumulative return during the sample period, returning approximately 276%. Apple returned approximately 137%, while Microsoft returned approximately 68%.</w:t>
      </w:r>
    </w:p>
    <w:p w14:paraId="125FD9AD" w14:textId="77777777" w:rsidR="0057068F" w:rsidRPr="0057068F" w:rsidRDefault="0057068F" w:rsidP="0057068F">
      <w:pPr>
        <w:numPr>
          <w:ilvl w:val="0"/>
          <w:numId w:val="2"/>
        </w:numPr>
        <w:rPr>
          <w:rFonts w:ascii="Calibri" w:hAnsi="Calibri" w:cs="Calibri"/>
          <w:b/>
          <w:bCs/>
          <w:sz w:val="20"/>
          <w:szCs w:val="20"/>
        </w:rPr>
      </w:pPr>
      <w:r w:rsidRPr="0057068F">
        <w:rPr>
          <w:rFonts w:ascii="Calibri" w:hAnsi="Calibri" w:cs="Calibri"/>
          <w:b/>
          <w:bCs/>
          <w:sz w:val="20"/>
          <w:szCs w:val="20"/>
        </w:rPr>
        <w:t>Risk</w:t>
      </w:r>
    </w:p>
    <w:p w14:paraId="022E76E7" w14:textId="77777777" w:rsidR="0057068F" w:rsidRPr="0057068F" w:rsidRDefault="0057068F" w:rsidP="0057068F">
      <w:pPr>
        <w:rPr>
          <w:rFonts w:ascii="Calibri" w:hAnsi="Calibri" w:cs="Calibri"/>
          <w:sz w:val="20"/>
          <w:szCs w:val="20"/>
        </w:rPr>
      </w:pPr>
      <w:r w:rsidRPr="0057068F">
        <w:rPr>
          <w:rFonts w:ascii="Calibri" w:hAnsi="Calibri" w:cs="Calibri"/>
          <w:sz w:val="20"/>
          <w:szCs w:val="20"/>
        </w:rPr>
        <w:t>Tesla exhibited the highest annualized volatility, indicating substantially greater price fluctuations than Apple and Microsoft. Apple and Microsoft demonstrated lower risk profiles.</w:t>
      </w:r>
    </w:p>
    <w:p w14:paraId="4B94201C" w14:textId="77777777" w:rsidR="0057068F" w:rsidRPr="0057068F" w:rsidRDefault="0057068F" w:rsidP="0057068F">
      <w:pPr>
        <w:numPr>
          <w:ilvl w:val="0"/>
          <w:numId w:val="3"/>
        </w:numPr>
        <w:rPr>
          <w:rFonts w:ascii="Calibri" w:hAnsi="Calibri" w:cs="Calibri"/>
          <w:b/>
          <w:bCs/>
          <w:sz w:val="20"/>
          <w:szCs w:val="20"/>
        </w:rPr>
      </w:pPr>
      <w:r w:rsidRPr="0057068F">
        <w:rPr>
          <w:rFonts w:ascii="Calibri" w:hAnsi="Calibri" w:cs="Calibri"/>
          <w:b/>
          <w:bCs/>
          <w:sz w:val="20"/>
          <w:szCs w:val="20"/>
        </w:rPr>
        <w:t>Risk-Adjusted Performance</w:t>
      </w:r>
    </w:p>
    <w:p w14:paraId="0CA0A1C0" w14:textId="77777777" w:rsidR="0057068F" w:rsidRPr="0057068F" w:rsidRDefault="0057068F" w:rsidP="0057068F">
      <w:pPr>
        <w:rPr>
          <w:rFonts w:ascii="Calibri" w:hAnsi="Calibri" w:cs="Calibri"/>
          <w:sz w:val="20"/>
          <w:szCs w:val="20"/>
        </w:rPr>
      </w:pPr>
      <w:r w:rsidRPr="0057068F">
        <w:rPr>
          <w:rFonts w:ascii="Calibri" w:hAnsi="Calibri" w:cs="Calibri"/>
          <w:sz w:val="20"/>
          <w:szCs w:val="20"/>
        </w:rPr>
        <w:t>Apple achieved the highest Sharpe ratio among the three securities. Although Tesla produced the highest absolute return, Apple delivered superior returns relative to the amount of risk assumed.</w:t>
      </w:r>
    </w:p>
    <w:p w14:paraId="096A097C" w14:textId="77777777" w:rsidR="0057068F" w:rsidRPr="0057068F" w:rsidRDefault="0057068F" w:rsidP="0057068F">
      <w:pPr>
        <w:numPr>
          <w:ilvl w:val="0"/>
          <w:numId w:val="4"/>
        </w:numPr>
        <w:rPr>
          <w:rFonts w:ascii="Calibri" w:hAnsi="Calibri" w:cs="Calibri"/>
          <w:b/>
          <w:bCs/>
          <w:sz w:val="20"/>
          <w:szCs w:val="20"/>
        </w:rPr>
      </w:pPr>
      <w:r w:rsidRPr="0057068F">
        <w:rPr>
          <w:rFonts w:ascii="Calibri" w:hAnsi="Calibri" w:cs="Calibri"/>
          <w:b/>
          <w:bCs/>
          <w:sz w:val="20"/>
          <w:szCs w:val="20"/>
        </w:rPr>
        <w:t>Diversification</w:t>
      </w:r>
    </w:p>
    <w:p w14:paraId="43FA9F81" w14:textId="77777777" w:rsidR="0057068F" w:rsidRPr="0057068F" w:rsidRDefault="0057068F" w:rsidP="0057068F">
      <w:pPr>
        <w:rPr>
          <w:rFonts w:ascii="Calibri" w:hAnsi="Calibri" w:cs="Calibri"/>
          <w:sz w:val="20"/>
          <w:szCs w:val="20"/>
        </w:rPr>
      </w:pPr>
      <w:r w:rsidRPr="0057068F">
        <w:rPr>
          <w:rFonts w:ascii="Calibri" w:hAnsi="Calibri" w:cs="Calibri"/>
          <w:sz w:val="20"/>
          <w:szCs w:val="20"/>
        </w:rPr>
        <w:t>Correlation analysis showed that Apple and Microsoft were moderately correlated, reflecting similarities in their business models and exposure to the technology sector. Tesla exhibited lower correlations with both companies, suggesting potential diversification benefits within a portfolio.</w:t>
      </w:r>
    </w:p>
    <w:p w14:paraId="00C60051" w14:textId="77777777" w:rsidR="0057068F" w:rsidRPr="0057068F" w:rsidRDefault="0057068F" w:rsidP="0057068F">
      <w:pPr>
        <w:rPr>
          <w:rFonts w:ascii="Calibri" w:hAnsi="Calibri" w:cs="Calibri"/>
          <w:b/>
          <w:bCs/>
          <w:sz w:val="20"/>
          <w:szCs w:val="20"/>
        </w:rPr>
      </w:pPr>
      <w:r w:rsidRPr="0057068F">
        <w:rPr>
          <w:rFonts w:ascii="Calibri" w:hAnsi="Calibri" w:cs="Calibri"/>
          <w:b/>
          <w:bCs/>
          <w:sz w:val="20"/>
          <w:szCs w:val="20"/>
        </w:rPr>
        <w:t>Investment Implications</w:t>
      </w:r>
    </w:p>
    <w:p w14:paraId="4706DED8" w14:textId="77777777" w:rsidR="0057068F" w:rsidRPr="0057068F" w:rsidRDefault="0057068F" w:rsidP="0057068F">
      <w:pPr>
        <w:rPr>
          <w:rFonts w:ascii="Calibri" w:hAnsi="Calibri" w:cs="Calibri"/>
          <w:sz w:val="20"/>
          <w:szCs w:val="20"/>
        </w:rPr>
      </w:pPr>
      <w:r w:rsidRPr="0057068F">
        <w:rPr>
          <w:rFonts w:ascii="Calibri" w:hAnsi="Calibri" w:cs="Calibri"/>
          <w:sz w:val="20"/>
          <w:szCs w:val="20"/>
        </w:rPr>
        <w:t>For investors seeking maximum historical growth, Tesla provided the strongest performance. However, this return was accompanied by significantly higher volatility.</w:t>
      </w:r>
    </w:p>
    <w:p w14:paraId="6D9FDFE1" w14:textId="77777777" w:rsidR="0057068F" w:rsidRPr="0057068F" w:rsidRDefault="0057068F" w:rsidP="0057068F">
      <w:pPr>
        <w:rPr>
          <w:rFonts w:ascii="Calibri" w:hAnsi="Calibri" w:cs="Calibri"/>
          <w:sz w:val="20"/>
          <w:szCs w:val="20"/>
        </w:rPr>
      </w:pPr>
      <w:r w:rsidRPr="0057068F">
        <w:rPr>
          <w:rFonts w:ascii="Calibri" w:hAnsi="Calibri" w:cs="Calibri"/>
          <w:sz w:val="20"/>
          <w:szCs w:val="20"/>
        </w:rPr>
        <w:t>For investors emphasizing risk-adjusted returns, Apple appeared to offer the most attractive balance between return and risk.</w:t>
      </w:r>
    </w:p>
    <w:p w14:paraId="295CB71F" w14:textId="77777777" w:rsidR="0057068F" w:rsidRPr="0057068F" w:rsidRDefault="0057068F" w:rsidP="0057068F">
      <w:pPr>
        <w:rPr>
          <w:rFonts w:ascii="Calibri" w:hAnsi="Calibri" w:cs="Calibri"/>
          <w:sz w:val="20"/>
          <w:szCs w:val="20"/>
        </w:rPr>
      </w:pPr>
      <w:r w:rsidRPr="0057068F">
        <w:rPr>
          <w:rFonts w:ascii="Calibri" w:hAnsi="Calibri" w:cs="Calibri"/>
          <w:sz w:val="20"/>
          <w:szCs w:val="20"/>
        </w:rPr>
        <w:t>The analysis also suggests that combining all three securities may provide diversification benefits compared with concentrating capital in a single stock.</w:t>
      </w:r>
    </w:p>
    <w:p w14:paraId="64E9E7D1" w14:textId="77777777" w:rsidR="0057068F" w:rsidRPr="0057068F" w:rsidRDefault="0057068F" w:rsidP="0057068F">
      <w:pPr>
        <w:rPr>
          <w:rFonts w:ascii="Calibri" w:hAnsi="Calibri" w:cs="Calibri"/>
          <w:b/>
          <w:bCs/>
          <w:sz w:val="20"/>
          <w:szCs w:val="20"/>
        </w:rPr>
      </w:pPr>
      <w:r w:rsidRPr="0057068F">
        <w:rPr>
          <w:rFonts w:ascii="Calibri" w:hAnsi="Calibri" w:cs="Calibri"/>
          <w:b/>
          <w:bCs/>
          <w:sz w:val="20"/>
          <w:szCs w:val="20"/>
        </w:rPr>
        <w:t>Limitations</w:t>
      </w:r>
    </w:p>
    <w:p w14:paraId="7C6F28AB" w14:textId="77777777" w:rsidR="0057068F" w:rsidRPr="0057068F" w:rsidRDefault="0057068F" w:rsidP="0057068F">
      <w:pPr>
        <w:rPr>
          <w:rFonts w:ascii="Calibri" w:hAnsi="Calibri" w:cs="Calibri"/>
          <w:sz w:val="20"/>
          <w:szCs w:val="20"/>
        </w:rPr>
      </w:pPr>
      <w:r w:rsidRPr="0057068F">
        <w:rPr>
          <w:rFonts w:ascii="Calibri" w:hAnsi="Calibri" w:cs="Calibri"/>
          <w:sz w:val="20"/>
          <w:szCs w:val="20"/>
        </w:rPr>
        <w:t>The analysis is based entirely on historical market data and does not incorporate company fundamentals, valuation metrics, earnings forecasts, macroeconomic conditions, or industry outlooks. Historical performance should not be interpreted as a guarantee of future results.</w:t>
      </w:r>
    </w:p>
    <w:p w14:paraId="4F782FF7" w14:textId="77777777" w:rsidR="0057068F" w:rsidRPr="0057068F" w:rsidRDefault="0057068F" w:rsidP="0057068F">
      <w:pPr>
        <w:rPr>
          <w:rFonts w:ascii="Calibri" w:hAnsi="Calibri" w:cs="Calibri"/>
          <w:b/>
          <w:bCs/>
          <w:sz w:val="20"/>
          <w:szCs w:val="20"/>
        </w:rPr>
      </w:pPr>
      <w:r w:rsidRPr="0057068F">
        <w:rPr>
          <w:rFonts w:ascii="Calibri" w:hAnsi="Calibri" w:cs="Calibri"/>
          <w:b/>
          <w:bCs/>
          <w:sz w:val="20"/>
          <w:szCs w:val="20"/>
        </w:rPr>
        <w:t>Conclusion</w:t>
      </w:r>
    </w:p>
    <w:p w14:paraId="50D4FCB5" w14:textId="77777777" w:rsidR="0057068F" w:rsidRPr="0057068F" w:rsidRDefault="0057068F" w:rsidP="0057068F">
      <w:pPr>
        <w:rPr>
          <w:rFonts w:ascii="Calibri" w:hAnsi="Calibri" w:cs="Calibri"/>
          <w:sz w:val="20"/>
          <w:szCs w:val="20"/>
        </w:rPr>
      </w:pPr>
      <w:r w:rsidRPr="0057068F">
        <w:rPr>
          <w:rFonts w:ascii="Calibri" w:hAnsi="Calibri" w:cs="Calibri"/>
          <w:sz w:val="20"/>
          <w:szCs w:val="20"/>
        </w:rPr>
        <w:t>Based on historical performance and risk-adjusted metrics, Apple demonstrated the strongest overall investment profile. Tesla delivered exceptional growth but with considerably higher risk. Microsoft provided stable performance but ranked below Apple on a risk-adjusted basis. Future investment decisions should incorporate both quantitative analysis and fundamental research.</w:t>
      </w:r>
    </w:p>
    <w:p w14:paraId="74D3BE93" w14:textId="77777777" w:rsidR="00630E18" w:rsidRPr="0057068F" w:rsidRDefault="00630E18">
      <w:pPr>
        <w:rPr>
          <w:rFonts w:ascii="Calibri" w:hAnsi="Calibri" w:cs="Calibri"/>
          <w:sz w:val="20"/>
          <w:szCs w:val="20"/>
        </w:rPr>
      </w:pPr>
    </w:p>
    <w:sectPr w:rsidR="00630E18" w:rsidRPr="0057068F" w:rsidSect="005706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E0E16"/>
    <w:multiLevelType w:val="multilevel"/>
    <w:tmpl w:val="2354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A33BA8"/>
    <w:multiLevelType w:val="multilevel"/>
    <w:tmpl w:val="A1EEC6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23626C"/>
    <w:multiLevelType w:val="multilevel"/>
    <w:tmpl w:val="458688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1C40FB"/>
    <w:multiLevelType w:val="multilevel"/>
    <w:tmpl w:val="53C87D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1005876">
    <w:abstractNumId w:val="0"/>
  </w:num>
  <w:num w:numId="2" w16cid:durableId="1209221890">
    <w:abstractNumId w:val="2"/>
  </w:num>
  <w:num w:numId="3" w16cid:durableId="1702046746">
    <w:abstractNumId w:val="3"/>
  </w:num>
  <w:num w:numId="4" w16cid:durableId="337386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68F"/>
    <w:rsid w:val="0057068F"/>
    <w:rsid w:val="00593E3F"/>
    <w:rsid w:val="00630E18"/>
    <w:rsid w:val="008203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47CC7"/>
  <w15:chartTrackingRefBased/>
  <w15:docId w15:val="{F69B7727-387B-407E-B95F-ABB3C6C0C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68F"/>
    <w:rPr>
      <w:rFonts w:eastAsiaTheme="majorEastAsia" w:cstheme="majorBidi"/>
      <w:color w:val="272727" w:themeColor="text1" w:themeTint="D8"/>
    </w:rPr>
  </w:style>
  <w:style w:type="paragraph" w:styleId="Title">
    <w:name w:val="Title"/>
    <w:basedOn w:val="Normal"/>
    <w:next w:val="Normal"/>
    <w:link w:val="TitleChar"/>
    <w:uiPriority w:val="10"/>
    <w:qFormat/>
    <w:rsid w:val="00570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68F"/>
    <w:pPr>
      <w:spacing w:before="160"/>
      <w:jc w:val="center"/>
    </w:pPr>
    <w:rPr>
      <w:i/>
      <w:iCs/>
      <w:color w:val="404040" w:themeColor="text1" w:themeTint="BF"/>
    </w:rPr>
  </w:style>
  <w:style w:type="character" w:customStyle="1" w:styleId="QuoteChar">
    <w:name w:val="Quote Char"/>
    <w:basedOn w:val="DefaultParagraphFont"/>
    <w:link w:val="Quote"/>
    <w:uiPriority w:val="29"/>
    <w:rsid w:val="0057068F"/>
    <w:rPr>
      <w:i/>
      <w:iCs/>
      <w:color w:val="404040" w:themeColor="text1" w:themeTint="BF"/>
    </w:rPr>
  </w:style>
  <w:style w:type="paragraph" w:styleId="ListParagraph">
    <w:name w:val="List Paragraph"/>
    <w:basedOn w:val="Normal"/>
    <w:uiPriority w:val="34"/>
    <w:qFormat/>
    <w:rsid w:val="0057068F"/>
    <w:pPr>
      <w:ind w:left="720"/>
      <w:contextualSpacing/>
    </w:pPr>
  </w:style>
  <w:style w:type="character" w:styleId="IntenseEmphasis">
    <w:name w:val="Intense Emphasis"/>
    <w:basedOn w:val="DefaultParagraphFont"/>
    <w:uiPriority w:val="21"/>
    <w:qFormat/>
    <w:rsid w:val="0057068F"/>
    <w:rPr>
      <w:i/>
      <w:iCs/>
      <w:color w:val="0F4761" w:themeColor="accent1" w:themeShade="BF"/>
    </w:rPr>
  </w:style>
  <w:style w:type="paragraph" w:styleId="IntenseQuote">
    <w:name w:val="Intense Quote"/>
    <w:basedOn w:val="Normal"/>
    <w:next w:val="Normal"/>
    <w:link w:val="IntenseQuoteChar"/>
    <w:uiPriority w:val="30"/>
    <w:qFormat/>
    <w:rsid w:val="00570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68F"/>
    <w:rPr>
      <w:i/>
      <w:iCs/>
      <w:color w:val="0F4761" w:themeColor="accent1" w:themeShade="BF"/>
    </w:rPr>
  </w:style>
  <w:style w:type="character" w:styleId="IntenseReference">
    <w:name w:val="Intense Reference"/>
    <w:basedOn w:val="DefaultParagraphFont"/>
    <w:uiPriority w:val="32"/>
    <w:qFormat/>
    <w:rsid w:val="00570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442</Words>
  <Characters>2215</Characters>
  <Application>Microsoft Office Word</Application>
  <DocSecurity>0</DocSecurity>
  <Lines>47</Lines>
  <Paragraphs>36</Paragraphs>
  <ScaleCrop>false</ScaleCrop>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Παναγιώτης Κωστούρος</dc:creator>
  <cp:keywords/>
  <dc:description/>
  <cp:lastModifiedBy>Παναγιώτης Κωστούρος</cp:lastModifiedBy>
  <cp:revision>1</cp:revision>
  <dcterms:created xsi:type="dcterms:W3CDTF">2026-06-15T15:38:00Z</dcterms:created>
  <dcterms:modified xsi:type="dcterms:W3CDTF">2026-06-15T15:42:00Z</dcterms:modified>
</cp:coreProperties>
</file>