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ProView v1.6 — Industry Governance Framework Comparison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Mapping ProView decision-support governance against NIST AI RMF, ISO/IEC 42001, EU AI Act, and Singapore Model Governance Framework for Agentic AI. Assessment based on published frameworks as of March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Detailed Domain Comparison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Coverage rated per domain. "Strong" = operationally specified with enforcement mechanism. "Partial" = addressed conceptually without operational specificity. "Not addressed" = absent from framework.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300"/>
        <w:gridCol w:w="1200"/>
        <w:gridCol w:w="1200"/>
        <w:gridCol w:w="1200"/>
        <w:gridCol w:w="1260"/>
        <w:tblGridChange w:id="0">
          <w:tblGrid>
            <w:gridCol w:w="1700"/>
            <w:gridCol w:w="1500"/>
            <w:gridCol w:w="1300"/>
            <w:gridCol w:w="1200"/>
            <w:gridCol w:w="1200"/>
            <w:gridCol w:w="12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Governance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ProView v1.6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NIST AI RMF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ISO 42001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Singapore MGF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 / Whitespace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Anti-Sycophancy / Confirmation Bias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Rules 1, 6; self-audit mechanism; anti-flip-flop revision policy with explicit criteria for legitimate vs illegitimate position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is the only framework addressing this. No industry equivalent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Confidence Calibration / Epistemic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Rule 10 (base rate anchoring); confidence gating (0-100%); explicit calibration: 80% = wrong ~1 in 5; epistemic triage (verified / estimated / unknown).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MEASURE function addresses evaluation but not calibration of AI-assisted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Requires performance monitoring but not calibration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Requires accuracy for high-risk systems. Does not specify calibration methodology.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 directly.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ahead. Industry focuses on model accuracy, not decision calibration.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Decision Proportionality / Adaptive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Adaptive depth (Mini / Standard / Deep Dive) scaled to stakes, blast radius, reversibility, uncertainty.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 Treats all AI interactions equivalently from governance perspective.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Risk classification tiers (minimal / limited / high / unacceptable) but these apply to system type, not decision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ahead. No framework scales analytical rigor to decision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Human Oversight / Delegation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Structured intake protocol; confidence gating controls when AI proceeds vs pauses for input; user can stop intake at any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GOVERN function addresses roles and responsibilities. Does not specify delegation scope for AI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Requires human oversight processes. Does not define delegation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 for high-risk. Mandates effective human oversight, ability to override, and intervention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Five-layer model; explicit delegation scope; approval gates for consequential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and Singapore most operationally specific. EU AI Act strongest on legal mandate.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Source Control / Evidence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Rule 5 (evidence and uncertainty discipline); epistemic triage; explicit prohibition on fabricated citations; search degradation flagging.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MAP function includes context and data characterization.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Requires data quality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Requires training data governance and documentation for high-risk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Addresses data provenance in agent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strongest at interaction level. EU AI Act strongest at system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Assumption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Rule 3 (assumptions policy); material assumptions flagged explicitly; assumption-world branching restricted unless requested.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 directly.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 directly.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unique. No framework explicitly governs assumption transparency in AI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Transparency /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Moderate. Output structure makes reasoning visible; disconfirmers required; revision reasoning explicit. Not designed for algorithmic explainability.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MANAGE function includes explainability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Requires transparency in AI management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Mandates explainability for high-risk; transparency obligations for all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Requires transparency in agent decision chains.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Industry stronger on system-level explainability. ProView stronger on decision-level reasoning transparency.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Risk Management / Failure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Bidirectional disconfirmers; pre-mortem analysis; early warning indicators; stop/rollback conditions; blast radius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Core purpose of the framework (Govern, Map, Measure, Manage).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Full AI management system with risk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Risk classification system; conformity assessment for high-risk.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Five layers include boundary enforcement and ongoing 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 frameworks address risk. ProView unique in requiring bidirectional disconfirmers and pre-mortem at decision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Agentic AI / Autonomous Action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Limited. Designed for human-AI decision support, not multi-agent orchestration. Delegation scope controls apply to single-user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Emerging. AI Agent Standards Initiative launched Feb 2026. RFI stage; no published standard yet.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addressed. Predates agentic deployment wave.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Human oversight mandates apply but were not written for agentic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Only framework directly addressing autonomous agents, cascading failures, scope creep, attribution.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Singapore leads. ProView addresses delegation scope but not multi-agent coordination. NIST in early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Audit / Monitoring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Moderate. Self-audit mechanism; check-in horizons; re-evaluation triggers. Not designed for continuous automated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MEASURE and MANAGE functions include ongoing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Requires internal audit and management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Post-market monitoring required for high-risk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Ongoing testing as explicit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Industry stronger on system-level monitoring. ProView unique on self-audit for sycophancy and calibration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Governance Theater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Strong. Implicit in enforcement-led design; self-audit catches behavioral non-compliance; framework is tested by user pushback.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addressed directly. Framework adoption is self-assessed.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Third-party certification provides external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Conformity assessment required but self-assessment permitted for some categories.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Partial. Addresses audit but not governance theater specifically.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ahead at interaction level. ISO 42001 certification is closest to external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Individual or small team AI-assisted decision support. Single-user interaction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Organization-wide. Sector-agnostic. Voluntary.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Organization-wide. Certifiable management system. Voluntary.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EU market. Legally binding. System classification by risk tier.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Organization-wide. Agentic-specific. Voluntary.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is narrowest in scope but deepest in interaction-level governance. Industry frameworks are broadest but shallowest at interaction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Coverage Summary: ProView vs Industry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Green = ahead or strong. Yellow = moderate or partial. Red = limited or absent.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600"/>
        <w:gridCol w:w="2360"/>
        <w:tblGridChange w:id="0">
          <w:tblGrid>
            <w:gridCol w:w="2200"/>
            <w:gridCol w:w="1600"/>
            <w:gridCol w:w="1600"/>
            <w:gridCol w:w="16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Industry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Industry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Anti-sycophancy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Wide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Original contribution; no industry equivalent.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Calibration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Partial (NIST)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adds decision calibration to system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Decision proportionality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Wide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framework scales rigor to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 (EU/SG)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and industry converge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Assumption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Wide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Original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Multi-agent / agentic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Emerging (SG)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not designed for this. Singapore leads.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Enterprise-scale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designed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ProView is interaction-level, not org-level.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System-level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Strong (EU/NIST)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Industry stronger on algorithmic transparency.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ProView whitespace (no industry equivalent): </w:t>
      </w:r>
      <w:r w:rsidDel="00000000" w:rsidR="00000000" w:rsidRPr="00000000">
        <w:rPr>
          <w:sz w:val="20"/>
          <w:szCs w:val="20"/>
          <w:rtl w:val="0"/>
        </w:rPr>
        <w:t xml:space="preserve">Anti-sycophancy controls, calibration discipline / base rate anchoring, decision proportionality (adaptive depth), and explicit assumption management. These represent original governance contributions not found in any published framework surveyed.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ProView alignment with industry: </w:t>
      </w:r>
      <w:r w:rsidDel="00000000" w:rsidR="00000000" w:rsidRPr="00000000">
        <w:rPr>
          <w:sz w:val="20"/>
          <w:szCs w:val="20"/>
          <w:rtl w:val="0"/>
        </w:rPr>
        <w:t xml:space="preserve">Human oversight / delegation scope, evidence discipline, risk management, and transparency converge with NIST, EU AI Act, and Singapore frameworks. ProView operates at the interaction level; industry frameworks operate at the system and organization level. The principles are compatible and complementary.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ProView limitations relative to industry: </w:t>
      </w:r>
      <w:r w:rsidDel="00000000" w:rsidR="00000000" w:rsidRPr="00000000">
        <w:rPr>
          <w:sz w:val="20"/>
          <w:szCs w:val="20"/>
          <w:rtl w:val="0"/>
        </w:rPr>
        <w:t xml:space="preserve">Multi-agent orchestration, enterprise-scale deployment, automated pipeline governance, and system-level algorithmic explainability are outside ProView's design scope. Singapore MGF leads on agentic-specific governance. EU AI Act and ISO 42001 lead on organization-wide compliance and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Scaling path: </w:t>
      </w:r>
      <w:r w:rsidDel="00000000" w:rsidR="00000000" w:rsidRPr="00000000">
        <w:rPr>
          <w:sz w:val="20"/>
          <w:szCs w:val="20"/>
          <w:rtl w:val="0"/>
        </w:rPr>
        <w:t xml:space="preserve">ProView loaded as a source into constrained-corpus tools (e.g., NotebookLM) provides an enforcement mechanism at the interaction layer that no industry framework currently delivers. If shared-session governance is validated, this architecture addresses the widest gap identified in the governance monitor: operational enforcement lagging policy by a widening margin.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ProView v1.6 Framework Comparison | March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