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96F3"/>
          <w:sz w:val="52"/>
        </w:rPr>
        <w:t>📊 REPORTE DE ANÁLISIS DE CÉLULAS CERVICALES</w:t>
      </w:r>
    </w:p>
    <w:p>
      <w:pPr>
        <w:jc w:val="center"/>
      </w:pPr>
      <w:r>
        <w:rPr>
          <w:color w:val="4CAF50"/>
          <w:sz w:val="28"/>
        </w:rPr>
        <w:t>Sistema SiPakMed-AI v3.0</w:t>
      </w:r>
    </w:p>
    <w:p/>
    <w:p>
      <w:pPr>
        <w:pStyle w:val="Heading1"/>
      </w:pPr>
      <w:r>
        <w:rPr>
          <w:color w:val="2196F3"/>
        </w:rPr>
        <w:t>Información del Reporte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196f3"/>
          </w:tcPr>
          <w:p>
            <w:r>
              <w:rPr>
                <w:b/>
                <w:color w:val="FFFFFF"/>
                <w:sz w:val="22"/>
              </w:rPr>
              <w:t>Fecha y Hora</w:t>
            </w:r>
          </w:p>
        </w:tc>
        <w:tc>
          <w:tcPr>
            <w:tcW w:type="dxa" w:w="4320"/>
            <w:shd w:fill="2196f3"/>
          </w:tcPr>
          <w:p>
            <w:r>
              <w:rPr>
                <w:b/>
                <w:color w:val="FFFFFF"/>
                <w:sz w:val="22"/>
              </w:rPr>
              <w:t>16/07/2026 13:57:14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  <w:color w:val="2196F3"/>
                <w:sz w:val="22"/>
              </w:rPr>
              <w:t>Paciente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22"/>
              </w:rPr>
              <w:t>Juan Pérez García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  <w:color w:val="2196F3"/>
                <w:sz w:val="22"/>
              </w:rPr>
              <w:t>ID de Paciente</w:t>
            </w:r>
          </w:p>
        </w:tc>
        <w:tc>
          <w:tcPr>
            <w:tcW w:type="dxa" w:w="4320"/>
            <w:shd w:fill="F5F5F5"/>
          </w:tcPr>
          <w:p>
            <w:r>
              <w:rPr>
                <w:sz w:val="22"/>
              </w:rPr>
              <w:t>PAC-2025-00123</w:t>
            </w:r>
          </w:p>
        </w:tc>
      </w:tr>
      <w:tr>
        <w:tc>
          <w:tcPr>
            <w:tcW w:type="dxa" w:w="4320"/>
            <w:shd w:fill="FFFFFF"/>
          </w:tcPr>
          <w:p/>
        </w:tc>
        <w:tc>
          <w:tcPr>
            <w:tcW w:type="dxa" w:w="4320"/>
            <w:shd w:fill="FFFFFF"/>
          </w:tcPr>
          <w:p/>
        </w:tc>
      </w:tr>
    </w:tbl>
    <w:p/>
    <w:p>
      <w:pPr>
        <w:pStyle w:val="Heading1"/>
      </w:pPr>
      <w:r>
        <w:rPr>
          <w:color w:val="2196F3"/>
        </w:rPr>
        <w:t>1. Información de la Imagen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196f3"/>
          </w:tcPr>
          <w:p>
            <w:r>
              <w:rPr>
                <w:b/>
                <w:color w:val="FFFFFF"/>
              </w:rPr>
              <w:t>Nombre del Archivo</w:t>
            </w:r>
          </w:p>
        </w:tc>
        <w:tc>
          <w:tcPr>
            <w:tcW w:type="dxa" w:w="4320"/>
            <w:shd w:fill="2196f3"/>
          </w:tcPr>
          <w:p>
            <w:r>
              <w:rPr>
                <w:b/>
                <w:color w:val="FFFFFF"/>
              </w:rPr>
              <w:t>test_image.jpg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  <w:color w:val="2196F3"/>
              </w:rPr>
              <w:t>Dimensiones</w:t>
            </w:r>
          </w:p>
        </w:tc>
        <w:tc>
          <w:tcPr>
            <w:tcW w:type="dxa" w:w="4320"/>
            <w:shd w:fill="FFFFFF"/>
          </w:tcPr>
          <w:p>
            <w:r>
              <w:t>512x512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  <w:color w:val="2196F3"/>
              </w:rPr>
              <w:t>Formato</w:t>
            </w:r>
          </w:p>
        </w:tc>
        <w:tc>
          <w:tcPr>
            <w:tcW w:type="dxa" w:w="4320"/>
            <w:shd w:fill="F5F5F5"/>
          </w:tcPr>
          <w:p>
            <w:r>
              <w:t>JPEG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  <w:color w:val="2196F3"/>
              </w:rPr>
              <w:t>Modo de Color</w:t>
            </w:r>
          </w:p>
        </w:tc>
        <w:tc>
          <w:tcPr>
            <w:tcW w:type="dxa" w:w="4320"/>
            <w:shd w:fill="FFFFFF"/>
          </w:tcPr>
          <w:p>
            <w:r>
              <w:t>RGB</w:t>
            </w:r>
          </w:p>
        </w:tc>
      </w:tr>
      <w:tr>
        <w:tc>
          <w:tcPr>
            <w:tcW w:type="dxa" w:w="4320"/>
            <w:shd w:fill="F5F5F5"/>
          </w:tcPr>
          <w:p/>
        </w:tc>
        <w:tc>
          <w:tcPr>
            <w:tcW w:type="dxa" w:w="4320"/>
            <w:shd w:fill="F5F5F5"/>
          </w:tcPr>
          <w:p/>
        </w:tc>
      </w:tr>
    </w:tbl>
    <w:p/>
    <w:p>
      <w:pPr>
        <w:pStyle w:val="Heading1"/>
      </w:pPr>
      <w:r>
        <w:rPr>
          <w:color w:val="2196F3"/>
        </w:rPr>
        <w:t>2. Imágenes Procesadas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Imagen Original</w:t>
            </w:r>
          </w:p>
        </w:tc>
        <w:tc>
          <w:tcPr>
            <w:tcW w:type="dxa" w:w="4320"/>
          </w:tcPr>
          <w:p>
            <w:r>
              <w:t>Imagen Mejorada (CLAHE)</w:t>
            </w:r>
          </w:p>
        </w:tc>
      </w:tr>
      <w:tr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196F3"/>
        </w:rPr>
        <w:t>3. Resultados de Predicción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196f3"/>
          </w:tcPr>
          <w:p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2160"/>
            <w:shd w:fill="2196f3"/>
          </w:tcPr>
          <w:p>
            <w:r>
              <w:rPr>
                <w:b/>
                <w:color w:val="FFFFFF"/>
              </w:rPr>
              <w:t>Clase Predicha</w:t>
            </w:r>
          </w:p>
        </w:tc>
        <w:tc>
          <w:tcPr>
            <w:tcW w:type="dxa" w:w="2160"/>
            <w:shd w:fill="2196f3"/>
          </w:tcPr>
          <w:p>
            <w:r>
              <w:rPr>
                <w:b/>
                <w:color w:val="FFFFFF"/>
              </w:rPr>
              <w:t>Confianza (%)</w:t>
            </w:r>
          </w:p>
        </w:tc>
        <w:tc>
          <w:tcPr>
            <w:tcW w:type="dxa" w:w="2160"/>
            <w:shd w:fill="2196f3"/>
          </w:tcPr>
          <w:p>
            <w:r>
              <w:rPr>
                <w:b/>
                <w:color w:val="FFFFFF"/>
              </w:rPr>
              <w:t>Tipo de Modelo</w:t>
            </w:r>
          </w:p>
        </w:tc>
      </w:tr>
      <w:tr>
        <w:tc>
          <w:tcPr>
            <w:tcW w:type="dxa" w:w="2160"/>
            <w:shd w:fill="FFFFFF"/>
          </w:tcPr>
          <w:p>
            <w:r>
              <w:t>ResNet50_Classic</w:t>
            </w:r>
          </w:p>
        </w:tc>
        <w:tc>
          <w:tcPr>
            <w:tcW w:type="dxa" w:w="2160"/>
            <w:shd w:fill="FFFFFF"/>
          </w:tcPr>
          <w:p>
            <w:r>
              <w:t>Células Superficiales</w:t>
            </w:r>
          </w:p>
        </w:tc>
        <w:tc>
          <w:tcPr>
            <w:tcW w:type="dxa" w:w="2160"/>
            <w:shd w:fill="FFFFFF"/>
          </w:tcPr>
          <w:p>
            <w:r>
              <w:t>0.92</w:t>
            </w:r>
          </w:p>
        </w:tc>
        <w:tc>
          <w:tcPr>
            <w:tcW w:type="dxa" w:w="2160"/>
            <w:shd w:fill="FFFFFF"/>
          </w:tcPr>
          <w:p>
            <w:r>
              <w:t>Clásico</w:t>
            </w:r>
          </w:p>
        </w:tc>
      </w:tr>
      <w:tr>
        <w:tc>
          <w:tcPr>
            <w:tcW w:type="dxa" w:w="2160"/>
            <w:shd w:fill="F5F5F5"/>
          </w:tcPr>
          <w:p>
            <w:r>
              <w:t>DenseNet121_Classic</w:t>
            </w:r>
          </w:p>
        </w:tc>
        <w:tc>
          <w:tcPr>
            <w:tcW w:type="dxa" w:w="2160"/>
            <w:shd w:fill="F5F5F5"/>
          </w:tcPr>
          <w:p>
            <w:r>
              <w:t>Células Superficiales</w:t>
            </w:r>
          </w:p>
        </w:tc>
        <w:tc>
          <w:tcPr>
            <w:tcW w:type="dxa" w:w="2160"/>
            <w:shd w:fill="F5F5F5"/>
          </w:tcPr>
          <w:p>
            <w:r>
              <w:t>0.88</w:t>
            </w:r>
          </w:p>
        </w:tc>
        <w:tc>
          <w:tcPr>
            <w:tcW w:type="dxa" w:w="2160"/>
            <w:shd w:fill="F5F5F5"/>
          </w:tcPr>
          <w:p>
            <w:r>
              <w:t>Clásico</w:t>
            </w:r>
          </w:p>
        </w:tc>
      </w:tr>
      <w:tr>
        <w:tc>
          <w:tcPr>
            <w:tcW w:type="dxa" w:w="2160"/>
            <w:shd w:fill="FFFFFF"/>
          </w:tcPr>
          <w:p>
            <w:r>
              <w:t>InceptionV3_Classic</w:t>
            </w:r>
          </w:p>
        </w:tc>
        <w:tc>
          <w:tcPr>
            <w:tcW w:type="dxa" w:w="2160"/>
            <w:shd w:fill="FFFFFF"/>
          </w:tcPr>
          <w:p>
            <w:r>
              <w:t>Células Superficiales</w:t>
            </w:r>
          </w:p>
        </w:tc>
        <w:tc>
          <w:tcPr>
            <w:tcW w:type="dxa" w:w="2160"/>
            <w:shd w:fill="FFFFFF"/>
          </w:tcPr>
          <w:p>
            <w:r>
              <w:t>0.95</w:t>
            </w:r>
          </w:p>
        </w:tc>
        <w:tc>
          <w:tcPr>
            <w:tcW w:type="dxa" w:w="2160"/>
            <w:shd w:fill="FFFFFF"/>
          </w:tcPr>
          <w:p>
            <w:r>
              <w:t>Clásico</w:t>
            </w:r>
          </w:p>
        </w:tc>
      </w:tr>
      <w:tr>
        <w:tc>
          <w:tcPr>
            <w:tcW w:type="dxa" w:w="2160"/>
            <w:shd w:fill="F5F5F5"/>
          </w:tcPr>
          <w:p>
            <w:r>
              <w:t>Hybrid_Ensemble_v1</w:t>
            </w:r>
          </w:p>
        </w:tc>
        <w:tc>
          <w:tcPr>
            <w:tcW w:type="dxa" w:w="2160"/>
            <w:shd w:fill="F5F5F5"/>
          </w:tcPr>
          <w:p>
            <w:r>
              <w:t>Células Superficiales</w:t>
            </w:r>
          </w:p>
        </w:tc>
        <w:tc>
          <w:tcPr>
            <w:tcW w:type="dxa" w:w="2160"/>
            <w:shd w:fill="F5F5F5"/>
          </w:tcPr>
          <w:p>
            <w:r>
              <w:t>0.96</w:t>
            </w:r>
          </w:p>
        </w:tc>
        <w:tc>
          <w:tcPr>
            <w:tcW w:type="dxa" w:w="2160"/>
            <w:shd w:fill="F5F5F5"/>
          </w:tcPr>
          <w:p>
            <w:r>
              <w:t>Híbrido</w:t>
            </w:r>
          </w:p>
        </w:tc>
      </w:tr>
      <w:tr>
        <w:tc>
          <w:tcPr>
            <w:tcW w:type="dxa" w:w="2160"/>
            <w:shd w:fill="FFFFFF"/>
          </w:tcPr>
          <w:p>
            <w:r>
              <w:t>Hybrid_MultiScale_v1</w:t>
            </w:r>
          </w:p>
        </w:tc>
        <w:tc>
          <w:tcPr>
            <w:tcW w:type="dxa" w:w="2160"/>
            <w:shd w:fill="FFFFFF"/>
          </w:tcPr>
          <w:p>
            <w:r>
              <w:t>Células Superficiales</w:t>
            </w:r>
          </w:p>
        </w:tc>
        <w:tc>
          <w:tcPr>
            <w:tcW w:type="dxa" w:w="2160"/>
            <w:shd w:fill="FFFFFF"/>
          </w:tcPr>
          <w:p>
            <w:r>
              <w:t>0.94</w:t>
            </w:r>
          </w:p>
        </w:tc>
        <w:tc>
          <w:tcPr>
            <w:tcW w:type="dxa" w:w="2160"/>
            <w:shd w:fill="FFFFFF"/>
          </w:tcPr>
          <w:p>
            <w:r>
              <w:t>Híbrido</w:t>
            </w:r>
          </w:p>
        </w:tc>
      </w:tr>
    </w:tbl>
    <w:p/>
    <w:p>
      <w:pPr>
        <w:pStyle w:val="Heading2"/>
      </w:pPr>
      <w:r>
        <w:rPr>
          <w:color w:val="4CAF50"/>
        </w:rPr>
        <w:t>Resumen del Análisis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caf50"/>
          </w:tcPr>
          <w:p>
            <w:r>
              <w:rPr>
                <w:b/>
                <w:color w:val="FFFFFF"/>
              </w:rPr>
              <w:t>Total de Modelos</w:t>
            </w:r>
          </w:p>
        </w:tc>
        <w:tc>
          <w:tcPr>
            <w:tcW w:type="dxa" w:w="4320"/>
            <w:shd w:fill="4caf50"/>
          </w:tcPr>
          <w:p>
            <w:r>
              <w:rPr>
                <w:b/>
                <w:color w:val="FFFFFF"/>
              </w:rPr>
              <w:t>5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  <w:color w:val="4CAF50"/>
              </w:rPr>
              <w:t>Confianza Promedio</w:t>
            </w:r>
          </w:p>
        </w:tc>
        <w:tc>
          <w:tcPr>
            <w:tcW w:type="dxa" w:w="4320"/>
            <w:shd w:fill="FFFFFF"/>
          </w:tcPr>
          <w:p>
            <w:r>
              <w:t>0.93%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  <w:color w:val="4CAF50"/>
              </w:rPr>
              <w:t>Clase con Mayor Consenso</w:t>
            </w:r>
          </w:p>
        </w:tc>
        <w:tc>
          <w:tcPr>
            <w:tcW w:type="dxa" w:w="4320"/>
            <w:shd w:fill="F5F5F5"/>
          </w:tcPr>
          <w:p>
            <w:r>
              <w:t>Células Superficiales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  <w:color w:val="4CAF50"/>
              </w:rPr>
              <w:t>Votos para la Clase Principal</w:t>
            </w:r>
          </w:p>
        </w:tc>
        <w:tc>
          <w:tcPr>
            <w:tcW w:type="dxa" w:w="4320"/>
            <w:shd w:fill="FFFFFF"/>
          </w:tcPr>
          <w:p>
            <w:r>
              <w:t>5 de 5</w:t>
            </w:r>
          </w:p>
        </w:tc>
      </w:tr>
    </w:tbl>
    <w:p/>
    <w:p>
      <w:pPr>
        <w:pStyle w:val="Heading2"/>
      </w:pPr>
      <w:r>
        <w:rPr>
          <w:color w:val="4CAF50"/>
        </w:rPr>
        <w:t>Distribución de Probabilidades</w:t>
      </w:r>
    </w:p>
    <w:p>
      <w:pPr>
        <w:pStyle w:val="ListBullet"/>
      </w:pPr>
      <w:r>
        <w:rPr>
          <w:b/>
        </w:rPr>
        <w:t>ResNet50_Classic:</w:t>
      </w:r>
      <w:r>
        <w:drawing>
          <wp:inline xmlns:a="http://schemas.openxmlformats.org/drawingml/2006/main" xmlns:pic="http://schemas.openxmlformats.org/drawingml/2006/picture">
            <wp:extent cx="5029200" cy="33243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DenseNet121_Classic:</w:t>
      </w:r>
      <w:r>
        <w:drawing>
          <wp:inline xmlns:a="http://schemas.openxmlformats.org/drawingml/2006/main" xmlns:pic="http://schemas.openxmlformats.org/drawingml/2006/picture">
            <wp:extent cx="5029200" cy="33243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InceptionV3_Classic:</w:t>
      </w:r>
      <w:r>
        <w:drawing>
          <wp:inline xmlns:a="http://schemas.openxmlformats.org/drawingml/2006/main" xmlns:pic="http://schemas.openxmlformats.org/drawingml/2006/picture">
            <wp:extent cx="5029200" cy="33243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Hybrid_Ensemble_v1:</w:t>
      </w:r>
      <w:r>
        <w:drawing>
          <wp:inline xmlns:a="http://schemas.openxmlformats.org/drawingml/2006/main" xmlns:pic="http://schemas.openxmlformats.org/drawingml/2006/picture">
            <wp:extent cx="5029200" cy="33243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Hybrid_MultiScale_v1:</w:t>
      </w:r>
      <w:r>
        <w:drawing>
          <wp:inline xmlns:a="http://schemas.openxmlformats.org/drawingml/2006/main" xmlns:pic="http://schemas.openxmlformats.org/drawingml/2006/picture">
            <wp:extent cx="5029200" cy="33243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43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4CAF50"/>
        </w:rPr>
        <w:t>Consenso entre Modelos</w:t>
      </w:r>
    </w:p>
    <w:p>
      <w:r>
        <w:drawing>
          <wp:inline xmlns:a="http://schemas.openxmlformats.org/drawingml/2006/main" xmlns:pic="http://schemas.openxmlformats.org/drawingml/2006/picture">
            <wp:extent cx="4114800" cy="43490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49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196F3"/>
        </w:rPr>
        <w:t>4. Información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9800"/>
          </w:tcPr>
          <w:p>
            <w:r>
              <w:rPr>
                <w:b/>
                <w:color w:val="FFFFFF"/>
              </w:rPr>
              <w:t>Modelos Disponibles</w:t>
            </w:r>
          </w:p>
        </w:tc>
        <w:tc>
          <w:tcPr>
            <w:tcW w:type="dxa" w:w="4320"/>
            <w:shd w:fill="ff9800"/>
          </w:tcPr>
          <w:p>
            <w:r>
              <w:rPr>
                <w:b/>
                <w:color w:val="FFFFFF"/>
              </w:rPr>
              <w:t>5 (3 clásicos + 2 híbridos)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  <w:color w:val="2196F3"/>
              </w:rPr>
              <w:t>Precisión del Sistema</w:t>
            </w:r>
          </w:p>
        </w:tc>
        <w:tc>
          <w:tcPr>
            <w:tcW w:type="dxa" w:w="4320"/>
            <w:shd w:fill="FFFFFF"/>
          </w:tcPr>
          <w:p>
            <w:r>
              <w:t>84-93%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  <w:color w:val="2196F3"/>
              </w:rPr>
              <w:t>Clases de Células</w:t>
            </w:r>
          </w:p>
        </w:tc>
        <w:tc>
          <w:tcPr>
            <w:tcW w:type="dxa" w:w="4320"/>
            <w:shd w:fill="F5F5F5"/>
          </w:tcPr>
          <w:p>
            <w:r>
              <w:t>5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  <w:color w:val="2196F3"/>
              </w:rPr>
              <w:t>Modo de Procesamiento</w:t>
            </w:r>
          </w:p>
        </w:tc>
        <w:tc>
          <w:tcPr>
            <w:tcW w:type="dxa" w:w="4320"/>
            <w:shd w:fill="FFFFFF"/>
          </w:tcPr>
          <w:p>
            <w:r>
              <w:t>CPU/GPU (Auto-detect)</w:t>
            </w:r>
          </w:p>
        </w:tc>
      </w:tr>
      <w:tr>
        <w:tc>
          <w:tcPr>
            <w:tcW w:type="dxa" w:w="4320"/>
            <w:shd w:fill="F5F5F5"/>
          </w:tcPr>
          <w:p/>
        </w:tc>
        <w:tc>
          <w:tcPr>
            <w:tcW w:type="dxa" w:w="4320"/>
            <w:shd w:fill="F5F5F5"/>
          </w:tcPr>
          <w:p/>
        </w:tc>
      </w:tr>
    </w:tbl>
    <w:p/>
    <w:p>
      <w:r>
        <w:rPr>
          <w:b/>
        </w:rPr>
        <w:t xml:space="preserve">⚠️ IMPORTANTE: </w:t>
      </w:r>
      <w:r>
        <w:rPr>
          <w:i/>
          <w:sz w:val="20"/>
        </w:rPr>
        <w:t>Este reporte fue generado automáticamente por el Sistema SiPakMed-AI. No debe ser utilizado como diagnóstico definitivo. Consulte con un profesional médico especializado para interpretación clínica.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