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REPORTE COMPLETO - SIPAKMED-AI</w:t>
      </w:r>
    </w:p>
    <w:p>
      <w:r>
        <w:t>Fecha: 2026-07-13 19:28:48</w:t>
      </w:r>
    </w:p>
    <w:p>
      <w:r>
        <w:br w:type="page"/>
      </w:r>
    </w:p>
    <w:p>
      <w:pPr>
        <w:pStyle w:val="Heading1"/>
      </w:pPr>
      <w:r>
        <w:t>1. Resumen Ejecutivo</w:t>
      </w:r>
    </w:p>
    <w:p>
      <w:r>
        <w:t>Este reporte presenta los resultados completos del proyecto SiPakMed-AI para clasificación de células cervicales. Incluye análisis exploratorio de datos, entrenamiento de modelos, validación cruzada, tunning de hiperparámetros y pruebas estadísticas.</w:t>
      </w:r>
    </w:p>
    <w:p>
      <w:r>
        <w:br w:type="page"/>
      </w:r>
    </w:p>
    <w:p>
      <w:pPr>
        <w:pStyle w:val="Heading1"/>
      </w:pPr>
      <w:r>
        <w:t>2. Análisis Exploratorio de Datos (EDA)</w:t>
      </w:r>
    </w:p>
    <w:p>
      <w:r>
        <w:br w:type="page"/>
      </w:r>
    </w:p>
    <w:p>
      <w:pPr>
        <w:pStyle w:val="Heading1"/>
      </w:pPr>
      <w:r>
        <w:t>3. Resultados de Validación Cruzada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Modelo</w:t>
            </w:r>
          </w:p>
        </w:tc>
        <w:tc>
          <w:tcPr>
            <w:tcW w:type="dxa" w:w="1234"/>
          </w:tcPr>
          <w:p>
            <w:r>
              <w:t>Accuracy (mean)</w:t>
            </w:r>
          </w:p>
        </w:tc>
        <w:tc>
          <w:tcPr>
            <w:tcW w:type="dxa" w:w="1234"/>
          </w:tcPr>
          <w:p>
            <w:r>
              <w:t>Accuracy (std)</w:t>
            </w:r>
          </w:p>
        </w:tc>
        <w:tc>
          <w:tcPr>
            <w:tcW w:type="dxa" w:w="1234"/>
          </w:tcPr>
          <w:p>
            <w:r>
              <w:t>F1 (mean)</w:t>
            </w:r>
          </w:p>
        </w:tc>
        <w:tc>
          <w:tcPr>
            <w:tcW w:type="dxa" w:w="1234"/>
          </w:tcPr>
          <w:p>
            <w:r>
              <w:t>F1 (std)</w:t>
            </w:r>
          </w:p>
        </w:tc>
        <w:tc>
          <w:tcPr>
            <w:tcW w:type="dxa" w:w="1234"/>
          </w:tcPr>
          <w:p>
            <w:r>
              <w:t>MCC (mean)</w:t>
            </w:r>
          </w:p>
        </w:tc>
        <w:tc>
          <w:tcPr>
            <w:tcW w:type="dxa" w:w="1234"/>
          </w:tcPr>
          <w:p>
            <w:r>
              <w:t>MCC (std)</w:t>
            </w:r>
          </w:p>
        </w:tc>
      </w:tr>
      <w:tr>
        <w:tc>
          <w:tcPr>
            <w:tcW w:type="dxa" w:w="1234"/>
          </w:tcPr>
          <w:p>
            <w:r>
              <w:t>MobileNetV2</w:t>
            </w:r>
          </w:p>
        </w:tc>
        <w:tc>
          <w:tcPr>
            <w:tcW w:type="dxa" w:w="1234"/>
          </w:tcPr>
          <w:p>
            <w:r>
              <w:t>83.50%</w:t>
            </w:r>
          </w:p>
        </w:tc>
        <w:tc>
          <w:tcPr>
            <w:tcW w:type="dxa" w:w="1234"/>
          </w:tcPr>
          <w:p>
            <w:r>
              <w:t>2.10%</w:t>
            </w:r>
          </w:p>
        </w:tc>
        <w:tc>
          <w:tcPr>
            <w:tcW w:type="dxa" w:w="1234"/>
          </w:tcPr>
          <w:p>
            <w:r>
              <w:t>0.8100</w:t>
            </w:r>
          </w:p>
        </w:tc>
        <w:tc>
          <w:tcPr>
            <w:tcW w:type="dxa" w:w="1234"/>
          </w:tcPr>
          <w:p>
            <w:r>
              <w:t>0.0300</w:t>
            </w:r>
          </w:p>
        </w:tc>
        <w:tc>
          <w:tcPr>
            <w:tcW w:type="dxa" w:w="1234"/>
          </w:tcPr>
          <w:p>
            <w:r>
              <w:t>0.7900</w:t>
            </w:r>
          </w:p>
        </w:tc>
        <w:tc>
          <w:tcPr>
            <w:tcW w:type="dxa" w:w="1234"/>
          </w:tcPr>
          <w:p>
            <w:r>
              <w:t>0.0400</w:t>
            </w:r>
          </w:p>
        </w:tc>
      </w:tr>
      <w:tr>
        <w:tc>
          <w:tcPr>
            <w:tcW w:type="dxa" w:w="1234"/>
          </w:tcPr>
          <w:p>
            <w:r>
              <w:t>ResNet50</w:t>
            </w:r>
          </w:p>
        </w:tc>
        <w:tc>
          <w:tcPr>
            <w:tcW w:type="dxa" w:w="1234"/>
          </w:tcPr>
          <w:p>
            <w:r>
              <w:t>93.20%</w:t>
            </w:r>
          </w:p>
        </w:tc>
        <w:tc>
          <w:tcPr>
            <w:tcW w:type="dxa" w:w="1234"/>
          </w:tcPr>
          <w:p>
            <w:r>
              <w:t>1.50%</w:t>
            </w:r>
          </w:p>
        </w:tc>
        <w:tc>
          <w:tcPr>
            <w:tcW w:type="dxa" w:w="1234"/>
          </w:tcPr>
          <w:p>
            <w:r>
              <w:t>0.9200</w:t>
            </w:r>
          </w:p>
        </w:tc>
        <w:tc>
          <w:tcPr>
            <w:tcW w:type="dxa" w:w="1234"/>
          </w:tcPr>
          <w:p>
            <w:r>
              <w:t>0.0200</w:t>
            </w:r>
          </w:p>
        </w:tc>
        <w:tc>
          <w:tcPr>
            <w:tcW w:type="dxa" w:w="1234"/>
          </w:tcPr>
          <w:p>
            <w:r>
              <w:t>0.8900</w:t>
            </w:r>
          </w:p>
        </w:tc>
        <w:tc>
          <w:tcPr>
            <w:tcW w:type="dxa" w:w="1234"/>
          </w:tcPr>
          <w:p>
            <w:r>
              <w:t>0.0300</w:t>
            </w:r>
          </w:p>
        </w:tc>
      </w:tr>
      <w:tr>
        <w:tc>
          <w:tcPr>
            <w:tcW w:type="dxa" w:w="1234"/>
          </w:tcPr>
          <w:p>
            <w:r>
              <w:t>EfficientNetB0</w:t>
            </w:r>
          </w:p>
        </w:tc>
        <w:tc>
          <w:tcPr>
            <w:tcW w:type="dxa" w:w="1234"/>
          </w:tcPr>
          <w:p>
            <w:r>
              <w:t>85.30%</w:t>
            </w:r>
          </w:p>
        </w:tc>
        <w:tc>
          <w:tcPr>
            <w:tcW w:type="dxa" w:w="1234"/>
          </w:tcPr>
          <w:p>
            <w:r>
              <w:t>2.30%</w:t>
            </w:r>
          </w:p>
        </w:tc>
        <w:tc>
          <w:tcPr>
            <w:tcW w:type="dxa" w:w="1234"/>
          </w:tcPr>
          <w:p>
            <w:r>
              <w:t>0.8300</w:t>
            </w:r>
          </w:p>
        </w:tc>
        <w:tc>
          <w:tcPr>
            <w:tcW w:type="dxa" w:w="1234"/>
          </w:tcPr>
          <w:p>
            <w:r>
              <w:t>0.0300</w:t>
            </w:r>
          </w:p>
        </w:tc>
        <w:tc>
          <w:tcPr>
            <w:tcW w:type="dxa" w:w="1234"/>
          </w:tcPr>
          <w:p>
            <w:r>
              <w:t>0.8100</w:t>
            </w:r>
          </w:p>
        </w:tc>
        <w:tc>
          <w:tcPr>
            <w:tcW w:type="dxa" w:w="1234"/>
          </w:tcPr>
          <w:p>
            <w:r>
              <w:t>0.0400</w:t>
            </w:r>
          </w:p>
        </w:tc>
      </w:tr>
      <w:tr>
        <w:tc>
          <w:tcPr>
            <w:tcW w:type="dxa" w:w="1234"/>
          </w:tcPr>
          <w:p>
            <w:r>
              <w:t>HybridEnsemble</w:t>
            </w:r>
          </w:p>
        </w:tc>
        <w:tc>
          <w:tcPr>
            <w:tcW w:type="dxa" w:w="1234"/>
          </w:tcPr>
          <w:p>
            <w:r>
              <w:t>93.00%</w:t>
            </w:r>
          </w:p>
        </w:tc>
        <w:tc>
          <w:tcPr>
            <w:tcW w:type="dxa" w:w="1234"/>
          </w:tcPr>
          <w:p>
            <w:r>
              <w:t>1.20%</w:t>
            </w:r>
          </w:p>
        </w:tc>
        <w:tc>
          <w:tcPr>
            <w:tcW w:type="dxa" w:w="1234"/>
          </w:tcPr>
          <w:p>
            <w:r>
              <w:t>0.9300</w:t>
            </w:r>
          </w:p>
        </w:tc>
        <w:tc>
          <w:tcPr>
            <w:tcW w:type="dxa" w:w="1234"/>
          </w:tcPr>
          <w:p>
            <w:r>
              <w:t>0.0200</w:t>
            </w:r>
          </w:p>
        </w:tc>
        <w:tc>
          <w:tcPr>
            <w:tcW w:type="dxa" w:w="1234"/>
          </w:tcPr>
          <w:p>
            <w:r>
              <w:t>0.9200</w:t>
            </w:r>
          </w:p>
        </w:tc>
        <w:tc>
          <w:tcPr>
            <w:tcW w:type="dxa" w:w="1234"/>
          </w:tcPr>
          <w:p>
            <w:r>
              <w:t>0.0200</w:t>
            </w:r>
          </w:p>
        </w:tc>
      </w:tr>
      <w:tr>
        <w:tc>
          <w:tcPr>
            <w:tcW w:type="dxa" w:w="1234"/>
          </w:tcPr>
          <w:p>
            <w:r>
              <w:t>HybridMultiscale</w:t>
            </w:r>
          </w:p>
        </w:tc>
        <w:tc>
          <w:tcPr>
            <w:tcW w:type="dxa" w:w="1234"/>
          </w:tcPr>
          <w:p>
            <w:r>
              <w:t>90.10%</w:t>
            </w:r>
          </w:p>
        </w:tc>
        <w:tc>
          <w:tcPr>
            <w:tcW w:type="dxa" w:w="1234"/>
          </w:tcPr>
          <w:p>
            <w:r>
              <w:t>1.80%</w:t>
            </w:r>
          </w:p>
        </w:tc>
        <w:tc>
          <w:tcPr>
            <w:tcW w:type="dxa" w:w="1234"/>
          </w:tcPr>
          <w:p>
            <w:r>
              <w:t>0.8900</w:t>
            </w:r>
          </w:p>
        </w:tc>
        <w:tc>
          <w:tcPr>
            <w:tcW w:type="dxa" w:w="1234"/>
          </w:tcPr>
          <w:p>
            <w:r>
              <w:t>0.0200</w:t>
            </w:r>
          </w:p>
        </w:tc>
        <w:tc>
          <w:tcPr>
            <w:tcW w:type="dxa" w:w="1234"/>
          </w:tcPr>
          <w:p>
            <w:r>
              <w:t>0.8800</w:t>
            </w:r>
          </w:p>
        </w:tc>
        <w:tc>
          <w:tcPr>
            <w:tcW w:type="dxa" w:w="1234"/>
          </w:tcPr>
          <w:p>
            <w:r>
              <w:t>0.0300</w:t>
            </w:r>
          </w:p>
        </w:tc>
      </w:tr>
    </w:tbl>
    <w:p>
      <w:r>
        <w:br w:type="page"/>
      </w:r>
    </w:p>
    <w:p>
      <w:pPr>
        <w:pStyle w:val="Heading1"/>
      </w:pPr>
      <w:r>
        <w:t>4. Tunning de Hiperparámetros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Modelo</w:t>
            </w:r>
          </w:p>
        </w:tc>
        <w:tc>
          <w:tcPr>
            <w:tcW w:type="dxa" w:w="1440"/>
          </w:tcPr>
          <w:p>
            <w:r>
              <w:t>Mejor Accuracy</w:t>
            </w:r>
          </w:p>
        </w:tc>
        <w:tc>
          <w:tcPr>
            <w:tcW w:type="dxa" w:w="1440"/>
          </w:tcPr>
          <w:p>
            <w:r>
              <w:t>Learning Rate</w:t>
            </w:r>
          </w:p>
        </w:tc>
        <w:tc>
          <w:tcPr>
            <w:tcW w:type="dxa" w:w="1440"/>
          </w:tcPr>
          <w:p>
            <w:r>
              <w:t>Weight Decay</w:t>
            </w:r>
          </w:p>
        </w:tc>
        <w:tc>
          <w:tcPr>
            <w:tcW w:type="dxa" w:w="1440"/>
          </w:tcPr>
          <w:p>
            <w:r>
              <w:t>Batch Size</w:t>
            </w:r>
          </w:p>
        </w:tc>
        <w:tc>
          <w:tcPr>
            <w:tcW w:type="dxa" w:w="1440"/>
          </w:tcPr>
          <w:p>
            <w:r>
              <w:t>Optimizer</w:t>
            </w:r>
          </w:p>
        </w:tc>
      </w:tr>
      <w:tr>
        <w:tc>
          <w:tcPr>
            <w:tcW w:type="dxa" w:w="1440"/>
          </w:tcPr>
          <w:p>
            <w:r>
              <w:t>MobileNetV2</w:t>
            </w:r>
          </w:p>
        </w:tc>
        <w:tc>
          <w:tcPr>
            <w:tcW w:type="dxa" w:w="1440"/>
          </w:tcPr>
          <w:p>
            <w:r>
              <w:t>0.85%</w:t>
            </w:r>
          </w:p>
        </w:tc>
        <w:tc>
          <w:tcPr>
            <w:tcW w:type="dxa" w:w="1440"/>
          </w:tcPr>
          <w:p>
            <w:r>
              <w:t>0.001500</w:t>
            </w:r>
          </w:p>
        </w:tc>
        <w:tc>
          <w:tcPr>
            <w:tcW w:type="dxa" w:w="1440"/>
          </w:tcPr>
          <w:p>
            <w:r>
              <w:t>0.000100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AdamW</w:t>
            </w:r>
          </w:p>
        </w:tc>
      </w:tr>
      <w:tr>
        <w:tc>
          <w:tcPr>
            <w:tcW w:type="dxa" w:w="1440"/>
          </w:tcPr>
          <w:p>
            <w:r>
              <w:t>ResNet50</w:t>
            </w:r>
          </w:p>
        </w:tc>
        <w:tc>
          <w:tcPr>
            <w:tcW w:type="dxa" w:w="1440"/>
          </w:tcPr>
          <w:p>
            <w:r>
              <w:t>0.94%</w:t>
            </w:r>
          </w:p>
        </w:tc>
        <w:tc>
          <w:tcPr>
            <w:tcW w:type="dxa" w:w="1440"/>
          </w:tcPr>
          <w:p>
            <w:r>
              <w:t>0.000800</w:t>
            </w:r>
          </w:p>
        </w:tc>
        <w:tc>
          <w:tcPr>
            <w:tcW w:type="dxa" w:w="1440"/>
          </w:tcPr>
          <w:p>
            <w:r>
              <w:t>0.000010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AdamW</w:t>
            </w:r>
          </w:p>
        </w:tc>
      </w:tr>
      <w:tr>
        <w:tc>
          <w:tcPr>
            <w:tcW w:type="dxa" w:w="1440"/>
          </w:tcPr>
          <w:p>
            <w:r>
              <w:t>EfficientNetB0</w:t>
            </w:r>
          </w:p>
        </w:tc>
        <w:tc>
          <w:tcPr>
            <w:tcW w:type="dxa" w:w="1440"/>
          </w:tcPr>
          <w:p>
            <w:r>
              <w:t>0.87%</w:t>
            </w:r>
          </w:p>
        </w:tc>
        <w:tc>
          <w:tcPr>
            <w:tcW w:type="dxa" w:w="1440"/>
          </w:tcPr>
          <w:p>
            <w:r>
              <w:t>0.001000</w:t>
            </w:r>
          </w:p>
        </w:tc>
        <w:tc>
          <w:tcPr>
            <w:tcW w:type="dxa" w:w="1440"/>
          </w:tcPr>
          <w:p>
            <w:r>
              <w:t>0.000050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AdamW</w:t>
            </w:r>
          </w:p>
        </w:tc>
      </w:tr>
      <w:tr>
        <w:tc>
          <w:tcPr>
            <w:tcW w:type="dxa" w:w="1440"/>
          </w:tcPr>
          <w:p>
            <w:r>
              <w:t>HybridEnsemble</w:t>
            </w:r>
          </w:p>
        </w:tc>
        <w:tc>
          <w:tcPr>
            <w:tcW w:type="dxa" w:w="1440"/>
          </w:tcPr>
          <w:p>
            <w:r>
              <w:t>0.93%</w:t>
            </w:r>
          </w:p>
        </w:tc>
        <w:tc>
          <w:tcPr>
            <w:tcW w:type="dxa" w:w="1440"/>
          </w:tcPr>
          <w:p>
            <w:r>
              <w:t>0.000500</w:t>
            </w:r>
          </w:p>
        </w:tc>
        <w:tc>
          <w:tcPr>
            <w:tcW w:type="dxa" w:w="1440"/>
          </w:tcPr>
          <w:p>
            <w:r>
              <w:t>0.000100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AdamW</w:t>
            </w:r>
          </w:p>
        </w:tc>
      </w:tr>
      <w:tr>
        <w:tc>
          <w:tcPr>
            <w:tcW w:type="dxa" w:w="1440"/>
          </w:tcPr>
          <w:p>
            <w:r>
              <w:t>HybridMultiscale</w:t>
            </w:r>
          </w:p>
        </w:tc>
        <w:tc>
          <w:tcPr>
            <w:tcW w:type="dxa" w:w="1440"/>
          </w:tcPr>
          <w:p>
            <w:r>
              <w:t>0.90%</w:t>
            </w:r>
          </w:p>
        </w:tc>
        <w:tc>
          <w:tcPr>
            <w:tcW w:type="dxa" w:w="1440"/>
          </w:tcPr>
          <w:p>
            <w:r>
              <w:t>0.001000</w:t>
            </w:r>
          </w:p>
        </w:tc>
        <w:tc>
          <w:tcPr>
            <w:tcW w:type="dxa" w:w="1440"/>
          </w:tcPr>
          <w:p>
            <w:r>
              <w:t>0.000050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AdamW</w:t>
            </w:r>
          </w:p>
        </w:tc>
      </w:tr>
    </w:tbl>
    <w:p>
      <w:r>
        <w:br w:type="page"/>
      </w:r>
    </w:p>
    <w:p>
      <w:pPr>
        <w:pStyle w:val="Heading1"/>
      </w:pPr>
      <w:r>
        <w:t>5. Pruebas Estadísticas</w:t>
      </w:r>
    </w:p>
    <w:p>
      <w:r>
        <w:drawing>
          <wp:inline xmlns:a="http://schemas.openxmlformats.org/drawingml/2006/main" xmlns:pic="http://schemas.openxmlformats.org/drawingml/2006/picture">
            <wp:extent cx="5486400" cy="21693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stical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1693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stical_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9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1693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stical_mc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93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