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任务三：基于三分类预测的量化交易策略</w:t>
      </w:r>
    </w:p>
    <w:p>
      <w:pPr>
        <w:jc w:val="center"/>
      </w:pPr>
      <w:r>
        <w:rPr>
          <w:b/>
          <w:sz w:val="26"/>
        </w:rPr>
        <w:t>2024-2025 年真实日期回测与绩效分析报告</w:t>
      </w:r>
    </w:p>
    <w:p>
      <w:pPr>
        <w:jc w:val="center"/>
      </w:pPr>
      <w:r>
        <w:rPr>
          <w:i/>
        </w:rPr>
        <w:t>模型：任务二最优 TCN（tcn_lr0.001_ep20）｜回测区间：2024-01-02 ~ 2025-12-31（485 个交易日）｜价格：真实 OHLC｜版本：v1.2</w:t>
      </w:r>
    </w:p>
    <w:p>
      <w:pPr>
        <w:pStyle w:val="Heading1"/>
      </w:pPr>
      <w:r>
        <w:t>1. 核心结论</w:t>
      </w:r>
    </w:p>
    <w:p>
      <w:pPr>
        <w:pStyle w:val="ListBullet"/>
      </w:pPr>
      <w:r>
        <w:t>策略在 2024-2025 年真实价格与真实交易日上取得正收益，且显著优于基准。主策略 2 年累计收益 +105.66%（年化 +43.73%），夏普 1.67，最大回撤 −14.20%，卡玛 3.08；同期全市场等权买入持有为 +34.33%、夏普 0.73、最大回撤 −25.23%。</w:t>
      </w:r>
    </w:p>
    <w:p>
      <w:r>
        <w:rPr>
          <w:b/>
          <w:i w:val="0"/>
        </w:rPr>
        <w:t>⚠️ 看到“+106%”的第一反应应当是怀疑，而不是兴奋。本报告对这一数字做了专项审计（第 7.6~7.10 节、第 8 节）：账务勾稽误差为 0、未发现未来函数、(code,date) 对齐通过安慰剂检验、模型预测与任务二保存结果逐位一致。但该收益率不是可以直接实盘复制的水平，原因有五：(a) 其中约 48 个百分点来自“牛市做多 + 严格止损”这一无技巧基准（随机选股同样拿到 +48.25%）；(b) 年换手率高达 28×，单边成本从 0.10% 提到 0.50%，累计收益就从 +105.66% 掉到 +63.26%；(c) 跨四个 2 年区间，策略累计收益在 +28.5% ~ +112.6% 之间，波动达 4 倍；(d) 仓位额度只有 10 个，对信号排序极度敏感：只把 p(拉伸) 扰动 σ=0.005（远小于任何模型差异），2 年收益的 1 倍标准差就有 ±8.2pp，区间 [100.8%, 135.8%]；(e) train.csv / val.csv 缺失，无法排除重叠窗口的信息污染。</w:t>
      </w:r>
    </w:p>
    <w:p>
      <w:pPr>
        <w:pStyle w:val="ListBullet"/>
      </w:pPr>
      <w:r>
        <w:t>风险控制确实创造了价值（与早期“合成收益 + 随机日历”蒙特卡洛结论相反）。关闭止损/止盈后累计收益虽升到 +129.70%，但年化波动从 23.30% 升到 37.11%，夏普从 1.67 降到 1.31，最大回撤从 −14.20% 恶化到 −18.78%。</w:t>
      </w:r>
    </w:p>
    <w:p>
      <w:pPr>
        <w:pStyle w:val="ListBullet"/>
      </w:pPr>
      <w:r>
        <w:t>模型的选股能力通过安慰剂检验。在相同交易日、买入相同数量随机股票并重复 200 次，随机组合 2 年收益中位数 +48.25%（5%-95% 区间 +27.32% ~ +74.03%）；真实信号 +105.66% 优于全部 200 次随机结果（经验 p ≤ 0.005），夏普分位 96.5%。</w:t>
      </w:r>
    </w:p>
    <w:p>
      <w:pPr>
        <w:pStyle w:val="ListBullet"/>
      </w:pPr>
      <w:r>
        <w:t>信号质量可验证且概率单调校准。2024-2025 子集中预测“拉伸类”且 p ≥ 0.5 时，未来 20 个交易日平均收益 +7.33%、胜率 70.1%；而票池内不加筛选持有 20 日仅 +1.93%、胜率 55.6%。p(拉伸) 从 0.25 升到 0.65 以上时，“实际为拉伸类”的比例从 25.7% 单调升到 74.8%。</w:t>
      </w:r>
    </w:p>
    <w:p>
      <w:pPr>
        <w:pStyle w:val="ListBullet"/>
      </w:pPr>
      <w:r>
        <w:t>重要局限（已按最新诊断修订）：回测票池是按标签分层抽样，2024-2025 子集为 下跌 21.1% / 震荡 36.2% / 拉伸 42.8%。实测真实全市场（2,956 只股票 × 528 个交易日）的“拉伸类”基础比例是 46.4%，比票池还高，因此“票池人为富集拉伸机会”的说法不成立。</w:t>
      </w:r>
    </w:p>
    <w:p>
      <w:pPr>
        <w:pStyle w:val="Heading1"/>
      </w:pPr>
      <w:r>
        <w:t>2. 关键技术突破：把“无日期的 .npy”还原成“有日期的真实行情”</w:t>
      </w:r>
    </w:p>
    <w:p>
      <w:r>
        <w:rPr>
          <w:b w:val="0"/>
          <w:i w:val="0"/>
        </w:rPr>
        <w:t>任务二留下的是匿名化、无日期、无价格的数据集（X_*.npy 形状 (N, 60, 33)）。任务三早期版本因此只能用“随机重排日历 + 假设收益幅度”的蒙特卡洛模拟，并声明无法进行真实市场回测。本报告解决了这一问题。</w:t>
      </w:r>
    </w:p>
    <w:p>
      <w:r>
        <w:rPr>
          <w:b w:val="0"/>
          <w:i w:val="0"/>
        </w:rPr>
        <w:t>关键观察：y_test.npy 是把 test.csv 按类别稳定排序得到的，置换因此唯一可逆：</w:t>
      </w:r>
    </w:p>
    <w:p>
      <w:r>
        <w:rPr>
          <w:b w:val="0"/>
          <w:i/>
        </w:rPr>
        <w:t>perm = np.argsort(test.csv['label'], kind='stable')</w:t>
        <w:br/>
        <w:t>y_test[i] == test.csv['label'][perm[i]]   # 已在代码中断言验证</w:t>
        <w:br/>
        <w:t>=&gt; X_test.npy 第 i 行 &lt;-&gt; test.csv 第 perm[i] 行 &lt;-&gt; 真实 (code, date)</w:t>
      </w:r>
    </w:p>
    <w:p>
      <w:r>
        <w:rPr>
          <w:b w:val="0"/>
          <w:i w:val="0"/>
        </w:rPr>
        <w:t>恢复出的 21,330 个测试样本真实日期范围为 2016-04-05 ~ 2025-10-22，再与源文件 original_data/all_2016_2025_with_indicators.csv（6,201,718 行真实日线）按 (code, date) 关联，即得到完整真实价格路径。</w:t>
      </w:r>
    </w:p>
    <w:p>
      <w:pPr>
        <w:pStyle w:val="Heading2"/>
      </w:pPr>
      <w:r>
        <w:t>2.1 模型复现校验（已做到逐位一致）</w:t>
      </w:r>
    </w:p>
    <w:p>
      <w:r>
        <w:rPr>
          <w:b/>
          <w:sz w:val="20"/>
        </w:rPr>
        <w:t>表 1  模型复现与日期对齐校验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校验项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稳定排序对齐假设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✅ 成立（断言通过）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重算测试集 Accuracy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0.5024378809188936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任务二 evaluation_metrics.csv 记录的 test_accuracy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0.5024378809188936 ✅ 完全一致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与任务二保存的预测数组一致率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100.00%（21,330 / 21,330）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模型 checkpoint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TCN，hidden=64，dropout=0.15，20 epochs</w:t>
            </w:r>
          </w:p>
        </w:tc>
      </w:tr>
    </w:tbl>
    <w:p/>
    <w:p>
      <w:r>
        <w:rPr>
          <w:b/>
          <w:i w:val="0"/>
        </w:rPr>
        <w:t>踩过的坑（值得记录）：最初用“分块累加 + float64”计算 X_train 的逐通道 mean/std，结果与任务二保存的预测只有 98.76% 一致（265 个样本在 argmax 上翻转），复现精度也差 6 个样本。原因是任务二 load_arrays() 是在整块 float32 数组上一次性算 mean/std 的，浮点求和顺序不同，会让 top1 与 top2 概率差 &lt; 0.05 的样本翻转。改为完全照抄训练脚本口径后，一致率变成 100%。结论：复现深度学习模型时，“数值上等价”和“逐位一致”是两回事；而这一点在本任务里并非无关紧要——见第 7.10 节的排序敏感性。</w:t>
      </w:r>
    </w:p>
    <w:p>
      <w:r>
        <w:rPr>
          <w:b w:val="0"/>
          <w:i w:val="0"/>
        </w:rPr>
        <w:t>回测窗口：2024-01-01 ~ 2025-12-31，共 485 个真实交易日；信号 4,136 条（覆盖 2,097 只股票、429 个信号日）。价格面板含 2023-12 起的缓冲数据，保证首日建仓与持有期路径完整。</w:t>
      </w:r>
    </w:p>
    <w:p>
      <w:pPr>
        <w:pStyle w:val="Heading1"/>
      </w:pPr>
      <w:r>
        <w:t>3. 策略设计</w:t>
      </w:r>
    </w:p>
    <w:p>
      <w:r>
        <w:rPr>
          <w:b/>
          <w:sz w:val="20"/>
        </w:rPr>
        <w:t>表 2  策略交易规则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开仓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预测“拉伸类”且 p(拉伸) ≥ 阈值 → 次日开盘买入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p_buy = 0.50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平仓（信号）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预测“下跌类” → 次日开盘卖出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止损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最低价触及 entry×(1−5%) → 触发价成交（跳空按开盘价）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stop_loss = 5%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止盈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最高价触及 entry×(1+15%) → 触发价成交（跳空按开盘价）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take_profit = 15%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超时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持仓满 20 个交易日 → 当日收盘卖出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max_hold_days = 20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仓位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每笔占当前权益 10%，最多同时持有 10 只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10% × 10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成本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单边 0.10%（佣金＋印花税＋滑点近似）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cost_rate = 0.1%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方向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只做多、不做空；空仓时现金不产生收益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long / flat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容量分配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同日信号超过可用仓位时，按 p(拉伸) 从高到低优先建仓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置信度排序</w:t>
            </w:r>
          </w:p>
        </w:tc>
      </w:tr>
    </w:tbl>
    <w:p/>
    <w:p>
      <w:r>
        <w:rPr>
          <w:b w:val="0"/>
          <w:i/>
        </w:rPr>
        <w:t>防未来函数约定：原始特征构造中 window = code_data[start:target]，60 日窗口为 [t−60, t−1]，不含样本日 t；标签基准是 close[t]（已用真实价格验证，MAE = 0.00000）。因此“t 日开盘成交”信息集合法，本报告保守地默认 t+1 开盘成交（exec_delay=1），并在第 7.4 节给出 t 日开盘的对照。实测买入信号的“信号日收盘 → 次日开盘”隔夜跳空均值仅 +0.075%，且未被计入收益。</w:t>
      </w:r>
    </w:p>
    <w:p>
      <w:pPr>
        <w:pStyle w:val="Heading2"/>
      </w:pPr>
      <w:r>
        <w:t>3.3 标签定义与策略的匹配</w:t>
      </w:r>
    </w:p>
    <w:p>
      <w:r>
        <w:rPr>
          <w:b/>
          <w:i w:val="0"/>
        </w:rPr>
        <w:t>标签定义（本报告已精确逆向，对 21,330 个样本 100% 命中）：设 max_ret / min_ret 为未来 50 日相对 close[t] 的最大/最小收益，label=2(拉伸) 当 max_ret ≥ +12% 且先于 min_ret 触发；label=0(下跌) 当 min_ret ≤ −12% 且先触发；否则 label=1(震荡)。即“阈值 ±12%、先触发者优先”。（此前版本写作 −10%，为笔误，特此更正。）</w:t>
      </w:r>
    </w:p>
    <w:p>
      <w:r>
        <w:rPr>
          <w:b/>
          <w:sz w:val="20"/>
        </w:rPr>
        <w:t>表 3  标签定义与真实市场基础发生率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池内占比(2024-25)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真实全市场占比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未来50日最大涨幅均值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未来50日最大跌幅均值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 下跌类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先跌破 −12%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21.1%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27.2%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+4.0%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−20.3%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1 震荡类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两个阈值都未触发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36.2%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26.4%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+5.6%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−6.4%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2 拉伸类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先涨破 +12%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42.8%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46.4%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+29.3%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−4.0%</w:t>
            </w:r>
          </w:p>
        </w:tc>
      </w:tr>
    </w:tbl>
    <w:p/>
    <w:p>
      <w:r>
        <w:rPr>
          <w:b/>
          <w:i w:val="0"/>
        </w:rPr>
        <w:t>这是理解本报告全部数字的钥匙。“拉伸类”不是罕见事件：2024-2025 年真实市场里 46.4% 的“股票×交易日”都会在未来 50 日内至少冲高 12%；真实拉伸类股票的 20 日收益均值是 +9.58%（中位数 +7.72%），远高于市场平均 +1.63%。因此一个只有约 1.5 倍 lift 的弱模型也能在这个标签上产生可观收益 —— 收益量级来自标签定义，而不是来自一个不合常理地强的模型。</w:t>
      </w:r>
    </w:p>
    <w:p>
      <w:pPr>
        <w:pStyle w:val="Heading1"/>
      </w:pPr>
      <w:r>
        <w:t>4. 回测设置与基准</w:t>
      </w:r>
    </w:p>
    <w:p>
      <w:r>
        <w:rPr>
          <w:b/>
          <w:sz w:val="20"/>
        </w:rPr>
        <w:t>表 4  回测设置与基准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设置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回测区间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2024-01-02 ~ 2025-12-31（485 个交易日）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成交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信号次日开盘价；止损/止盈盘中触发价（考虑跳空）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成本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单边 0.10%，买卖各计一次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年化折算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244 个交易日/年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基准 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全市场等权买入持有：2024-2025 年全部约 2,940 只股票等权日收益复利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基准 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全样本无条件持有 20 日：票池内 4,123 个样本等权，不加筛选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基准 3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随机信号安慰剂：同样交易日、同样买入数量，随机选股，200 次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基准 4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无风控对照：同一策略，关闭止损与止盈</w:t>
            </w:r>
          </w:p>
        </w:tc>
      </w:tr>
    </w:tbl>
    <w:p/>
    <w:p>
      <w:pPr>
        <w:pStyle w:val="Heading1"/>
      </w:pPr>
      <w:r>
        <w:t>5. 信号质量检验（2024-2025）</w:t>
      </w:r>
    </w:p>
    <w:p>
      <w:r>
        <w:rPr>
          <w:b w:val="0"/>
          <w:i w:val="0"/>
        </w:rPr>
        <w:t>2024-2025 子集（4,136 条）Accuracy = 54.06%，高于测试集整体的 50.24%。逐年准确率如下：</w:t>
      </w:r>
    </w:p>
    <w:p>
      <w:r>
        <w:rPr>
          <w:b/>
          <w:sz w:val="20"/>
        </w:rPr>
        <w:t>表 5  逐年分类表现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  <w:sz w:val="18"/>
              </w:rPr>
              <w:t>年份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预测拉伸时精度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预测下跌时精度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2016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1427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0.514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0.525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0.370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2017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2137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0.497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0.358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0.524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2018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1707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0.534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0.402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0.654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2103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0.490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0.568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0.307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2129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0.531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0.570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0.511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2294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0.440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0.511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0.315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1970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0.512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0.419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0.543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3427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0.467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0.392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0.428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1845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0.585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0.660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0.547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2291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0.505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0.536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0.225</w:t>
            </w:r>
          </w:p>
        </w:tc>
      </w:tr>
    </w:tbl>
    <w:p/>
    <w:p>
      <w:r>
        <w:rPr>
          <w:b w:val="0"/>
          <w:i/>
        </w:rPr>
        <w:t>2024 年准确率偏高、2025 年回到平均水平，没有出现“越接近回测期准确率越异常”的形态，这在一定程度上不支持“结果主要由信息泄漏驱动”的解释。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1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ignal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混淆矩阵、概率校准与各类别准确率</w:t>
      </w:r>
    </w:p>
    <w:p>
      <w:r>
        <w:rPr>
          <w:b/>
          <w:sz w:val="20"/>
        </w:rPr>
        <w:t>表 6  p(拉伸) 分箱校准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p(拉伸) 区间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实际为拉伸类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实际为下跌类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(0.00, 0.25]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1215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25.7%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32.8%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(0.25, 0.35]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933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37.9%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20.3%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(0.35, 0.45]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779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45.8%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17.6%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(0.45, 0.55]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556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54.7%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15.8%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(0.55, 0.65]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395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63.0%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9.9%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(0.65, 1.00]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258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74.8%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7.4%</w:t>
            </w:r>
          </w:p>
        </w:tc>
      </w:tr>
    </w:tbl>
    <w:p/>
    <w:p>
      <w:r>
        <w:rPr>
          <w:b w:val="0"/>
          <w:i w:val="0"/>
        </w:rPr>
        <w:t>概率单调可信：p(拉伸) 越高，“实际为拉伸类”比例越高、“实际为下跌类”比例越低。这是“按置信度分配仓位”能产生正收益的前提。</w:t>
      </w:r>
    </w:p>
    <w:p>
      <w:r>
        <w:rPr>
          <w:b/>
          <w:sz w:val="20"/>
        </w:rPr>
        <w:t>表 7  信号原始边际（不依赖组合规则）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  <w:sz w:val="18"/>
              </w:rPr>
              <w:t>信号集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持有 20 交易日均值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胜率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买入信号（预测拉伸且 p ≥ 0.5）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888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+7.33%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+4.89%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70.1%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票池内全部样本（无筛选）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4123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+1.93%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+1.18%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55.6%</w:t>
            </w:r>
          </w:p>
        </w:tc>
      </w:tr>
    </w:tbl>
    <w:p/>
    <w:p>
      <w:r>
        <w:rPr>
          <w:b/>
          <w:i w:val="0"/>
        </w:rPr>
        <w:t>信号把 20 日持有收益从 +1.93% 提升到 +7.33%、胜率从 55.6% 提升到 70.1%——这就是策略 alpha 的来源。在买入信号内部，真实为拉伸类的样本 20 日均值 +11.94%，非拉伸类为 −1.75%。</w:t>
      </w:r>
    </w:p>
    <w:p>
      <w:pPr>
        <w:pStyle w:val="Heading1"/>
      </w:pPr>
      <w:r>
        <w:t>6. 回测结果</w:t>
      </w:r>
    </w:p>
    <w:p>
      <w:r>
        <w:rPr>
          <w:b/>
          <w:sz w:val="20"/>
        </w:rPr>
        <w:t>表 8  核心绩效指标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主策略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无风控对照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t 日开盘执行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全市场买入持有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累计收益率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+129.70%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+87.62%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+34.33%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年化收益率 (CAGR)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+43.73%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+51.95%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+37.24%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+16.01%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年化波动率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23.30%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37.11%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20.52%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24.25%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夏普比率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1.31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1.65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0.73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索提诺比率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1.87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1.54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2.04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最大回撤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−14.20%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−18.78%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−13.26%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−25.23%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卡玛比率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3.08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2.77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2.81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0.63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平均仓位暴露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64.2%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76.6%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65.6%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交易笔数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291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197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292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胜率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49.8%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58.4%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47.3%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盈亏比 (Profit Factor)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2.14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3.04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1.97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平均盈利 / 平均亏损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+10.01% / −4.65%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平均持仓天数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11.1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20.0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11.4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年化换手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28.3×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quit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2024-2025 策略净值曲线与回撤（真实价格、真实交易日）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raw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主策略回撤曲线</w:t>
      </w:r>
    </w:p>
    <w:p>
      <w:r>
        <w:rPr>
          <w:b w:val="0"/>
          <w:i w:val="0"/>
        </w:rPr>
        <w:t>主策略 2 年净值从 1.00 升到 2.06，全程始终高于全市场等权买入持有。2024 年 1-7 月市场从 1.00 跌到 0.80，同期策略仍维持在 1.00~1.10，回撤保护明显。回撤超过 10% 的交易日集中在 2024-07 ~ 2025-04，最深回撤 −14.20% 出现在 2025-01-09。最后一笔平仓发生于 2025-11-14，此后无新信号，净值走平。</w:t>
      </w:r>
    </w:p>
    <w:p>
      <w:r>
        <w:rPr>
          <w:b/>
          <w:sz w:val="20"/>
        </w:rPr>
        <w:t>表 9  分年度表现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/>
            <w:r>
              <w:rPr>
                <w:b/>
                <w:sz w:val="18"/>
              </w:rPr>
              <w:t>年份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累计收益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夏普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最大回撤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平均仓位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交易笔数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胜率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+45.32%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2.44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−11.97%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60.3%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162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46.9%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+41.51%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1.35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−11.91%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68.1%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129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53.5%</w:t>
            </w:r>
          </w:p>
        </w:tc>
      </w:tr>
    </w:tbl>
    <w:p/>
    <w:p>
      <w:r>
        <w:rPr>
          <w:b w:val="0"/>
          <w:i w:val="0"/>
        </w:rPr>
        <w:t>两个年度均取得 40% 以上收益且回撤可控，说明结果不是单一年份的偶然。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28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onthl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 月度收益率热力图 (%)</w:t>
      </w:r>
    </w:p>
    <w:p>
      <w:r>
        <w:rPr>
          <w:b w:val="0"/>
          <w:i w:val="0"/>
        </w:rPr>
        <w:t>24 个月中 20 个月为正、3 个月为负（2024-01 −2.15%、2024-06 −5.60%、2025-10 −2.75%），2025-12 因无持仓收益为 0。最佳月份 2024 年 9 月（+14.90%），最差 2024 年 6 月（−5.60%）。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19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ra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  单笔收益分布、持仓天数分布与平仓原因</w:t>
      </w:r>
    </w:p>
    <w:p>
      <w:r>
        <w:rPr>
          <w:b w:val="0"/>
          <w:i w:val="0"/>
        </w:rPr>
        <w:t>单笔收益分布右偏：平均盈利 +10.01%，平均亏损 −4.65%，盈亏比 2.14，属典型“截断亏损、让利润奔跑”。平仓原因：止损 123 笔（42.3%）、超时 98 笔（33.7%）、止盈 70 笔（24.1%）、下跌信号平仓 0 笔。“预测下跌 → 平仓”在实际成交中从未触发，因为持仓平均仅 11.1 天，同一股票在持仓窗口内再次出现下跌信号的概率很低；退出基本由止损/止盈/超时完成。该规则几乎不贡献 alpha，可以简化。</w:t>
      </w:r>
    </w:p>
    <w:p>
      <w:pPr>
        <w:pStyle w:val="Heading1"/>
      </w:pPr>
      <w:r>
        <w:t>7. 稳健性与敏感性分析</w:t>
      </w:r>
    </w:p>
    <w:p>
      <w:r>
        <w:rPr>
          <w:b/>
          <w:sz w:val="20"/>
        </w:rPr>
        <w:t>表 10  开仓阈值敏感性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/>
            <w:r>
              <w:rPr>
                <w:b/>
                <w:sz w:val="18"/>
              </w:rPr>
              <w:t>p_buy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交易笔数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累计收益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夏普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最大回撤</w:t>
            </w:r>
          </w:p>
        </w:tc>
        <w:tc>
          <w:tcPr>
            <w:tcW w:type="dxa" w:w="1632"/>
          </w:tcPr>
          <w:p>
            <w:r/>
            <w:r>
              <w:rPr>
                <w:b/>
                <w:sz w:val="18"/>
              </w:rPr>
              <w:t>胜率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0.40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367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+93.54%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1.31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−18.60%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44.4%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0.45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334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+117.25%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1.62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−19.74%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48.2%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291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−14.20%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49.8%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0.55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257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+134.69%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1.66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−16.04%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54.5%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0.60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212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+133.90%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1.95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−14.53%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56.6%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0.65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+73.68%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1.34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−12.54%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56.7%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8"/>
              </w:rPr>
              <w:t>0.70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+49.51%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1.16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−11.16%</w:t>
            </w:r>
          </w:p>
        </w:tc>
        <w:tc>
          <w:tcPr>
            <w:tcW w:type="dxa" w:w="1632"/>
          </w:tcPr>
          <w:p>
            <w:r/>
            <w:r>
              <w:rPr>
                <w:sz w:val="18"/>
              </w:rPr>
              <w:t>57.5%</w:t>
            </w:r>
          </w:p>
        </w:tc>
      </w:tr>
    </w:tbl>
    <w:p/>
    <w:p>
      <w:r>
        <w:rPr>
          <w:b w:val="0"/>
          <w:i w:val="0"/>
        </w:rPr>
        <w:t>收益在 p_buy ∈ [0.45, 0.60] 区间保持高位（+105% ~ +135%）且夏普 ≥ 1.6；阈值过高（≥0.65）因样本过少而衰减。没有出现“只有某一个阈值才赚钱”的脆弱性。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88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  阈值敏感性与止损/止盈网格</w:t>
      </w:r>
    </w:p>
    <w:p>
      <w:r>
        <w:rPr>
          <w:b w:val="0"/>
          <w:i w:val="0"/>
        </w:rPr>
        <w:t>5×5 的止损/止盈网格共 25 组参数全部取得正收益（最低 +65.57%），夏普集中在 1.3~2.1。默认的 5%/15% 位于稳健区域中部；最优夏普来自 3%/30%（+110.59%，夏普 2.09，回撤 −10.99%）。但 5%/15% 作为不过度调参的默认值更合理。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hold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7  持仓期敏感性</w:t>
      </w:r>
    </w:p>
    <w:p>
      <w:r>
        <w:rPr>
          <w:b/>
          <w:sz w:val="20"/>
        </w:rPr>
        <w:t>表 11  持仓期敏感性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/>
            <w:r>
              <w:rPr>
                <w:b/>
                <w:sz w:val="18"/>
              </w:rPr>
              <w:t>最长持仓天数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交易笔数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累计收益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夏普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最大回撤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胜率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平均持有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535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+99.80%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1.71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−10.65%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56.3%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4.3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+117.94%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1.84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−11.10%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55.4%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291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−14.20%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49.8%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11.1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268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+107.02%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1.76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−13.95%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47.4%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246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+116.71%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1.77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−15.43%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47.2%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14.6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235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+101.77%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1.62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−14.46%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45.1%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15.7</w:t>
            </w:r>
          </w:p>
        </w:tc>
      </w:tr>
    </w:tbl>
    <w:p/>
    <w:p>
      <w:r>
        <w:rPr>
          <w:b w:val="0"/>
          <w:i w:val="0"/>
        </w:rPr>
        <w:t>持仓期从 5 天到 50 天，累计收益始终在 +100% ~ +118%、夏普 1.6~1.8 之间，结果对持仓期不敏感。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88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apacity_and_year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8  仓位容量敏感性与分年度表现</w:t>
      </w:r>
    </w:p>
    <w:p>
      <w:r>
        <w:rPr>
          <w:b/>
          <w:sz w:val="20"/>
        </w:rPr>
        <w:t>表 12  仓位容量敏感性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/>
            <w:r>
              <w:rPr>
                <w:b/>
                <w:sz w:val="18"/>
              </w:rPr>
              <w:t>单仓位比例 × 最大持仓数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最大总仓位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交易笔数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累计收益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夏普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最大回撤</w:t>
            </w:r>
          </w:p>
        </w:tc>
        <w:tc>
          <w:tcPr>
            <w:tcW w:type="dxa" w:w="1399"/>
          </w:tcPr>
          <w:p>
            <w:r/>
            <w:r>
              <w:rPr>
                <w:b/>
                <w:sz w:val="18"/>
              </w:rPr>
              <w:t>平均暴露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20% × 5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166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+142.30%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1.32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−27.48%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71.0%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10% × 10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291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−14.20%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64.2%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10% × 20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200%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334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+109.54%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1.71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−14.18%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64.8%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5% × 20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488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+100.16%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2.04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−9.56%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57.2%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5% × 30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150%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527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+101.64%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2.06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−9.56%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57.4%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3.3% × 30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620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+84.45%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2.33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−6.75%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49.0%</w:t>
            </w:r>
          </w:p>
        </w:tc>
      </w:tr>
      <w:tr>
        <w:tc>
          <w:tcPr>
            <w:tcW w:type="dxa" w:w="1399"/>
          </w:tcPr>
          <w:p>
            <w:r/>
            <w:r>
              <w:rPr>
                <w:sz w:val="18"/>
              </w:rPr>
              <w:t>3% × 40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120%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678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+82.08%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2.42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−6.10%</w:t>
            </w:r>
          </w:p>
        </w:tc>
        <w:tc>
          <w:tcPr>
            <w:tcW w:type="dxa" w:w="1399"/>
          </w:tcPr>
          <w:p>
            <w:r/>
            <w:r>
              <w:rPr>
                <w:sz w:val="18"/>
              </w:rPr>
              <w:t>46.8%</w:t>
            </w:r>
          </w:p>
        </w:tc>
      </w:tr>
    </w:tbl>
    <w:p/>
    <w:p>
      <w:r>
        <w:rPr>
          <w:b w:val="0"/>
          <w:i w:val="0"/>
        </w:rPr>
        <w:t>更分散的配置（3.3% × 30）把夏普提到 2.33、回撤压到 −6.75%，代价是收益降到 +84%。10% × 10 偏激进但合理，且容量敏感性说明收益并非来自“运气好的少数重仓”。</w:t>
      </w:r>
    </w:p>
    <w:p>
      <w:r>
        <w:rPr>
          <w:b/>
          <w:sz w:val="20"/>
        </w:rPr>
        <w:t>表 13  执行时点稳健性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执行方式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累计收益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夏普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最大回撤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t+1 开盘（默认，保守）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−14.20%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 日开盘（信息集同样合法）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+87.62%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1.65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−13.26%</w:t>
            </w:r>
          </w:p>
        </w:tc>
      </w:tr>
    </w:tbl>
    <w:p/>
    <w:p>
      <w:r>
        <w:rPr>
          <w:b w:val="0"/>
          <w:i w:val="0"/>
        </w:rPr>
        <w:t>两种口径夏普几乎相同（1.67 vs 1.65），说明结论不依赖于执行时点这一自由参数；但累计收益相差 18pp，反映的是仓位挤占带来的路径差异（见 7.10 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316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andom_signal_m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9  随机信号安慰剂检验（200 次）</w:t>
      </w:r>
    </w:p>
    <w:p>
      <w:r>
        <w:rPr>
          <w:b/>
          <w:sz w:val="20"/>
        </w:rPr>
        <w:t>表 14  安慰剂检验结果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18"/>
              </w:rPr>
              <w:t>统计量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随机信号组合（200 次）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真实模型信号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累计收益（中位数 / 5% / 95%）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+48.25% / +27.32% / +74.03%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+105.66%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夏普（中位数 / 95%）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1.06 / 1.60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1.67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最大回撤（中位数）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−14.47%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−14.20%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真实收益在随机分布中的分位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100%（p ≤ 0.005）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真实夏普在随机分布中的分位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96.5%（p ≈ 0.035）</w:t>
            </w:r>
          </w:p>
        </w:tc>
      </w:tr>
    </w:tbl>
    <w:p/>
    <w:p>
      <w:r>
        <w:rPr>
          <w:b/>
          <w:i w:val="0"/>
        </w:rPr>
        <w:t>随机信号组合的中位收益高达 +48.25%，说明在 2024-2025 年的 A 股环境中，只要“重仓做多 + 严格止损”就能取得不错收益。策略 +105.66% 中约 48 个百分点可由这一随机基准解释，其余约 57 个百分点归因于模型的选股能力。该检验把“策略赚钱”与“模型有 alpha”区分开来。</w:t>
      </w:r>
    </w:p>
    <w:p>
      <w:pPr>
        <w:pStyle w:val="Heading2"/>
      </w:pPr>
      <w:r>
        <w:t>7.6 跨期稳健性：同一策略放到另外三个 2 年区间</w:t>
      </w:r>
    </w:p>
    <w:p>
      <w:r>
        <w:rPr>
          <w:b w:val="0"/>
          <w:i w:val="0"/>
        </w:rPr>
        <w:t>这是回应“翻倍是不是 2024Q4 暴涨造成的”最直接的检验。模型、特征、策略规则、成本全部不变，只更换回测区间。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068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ultiperi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10  同一模型/同一策略在四个 2 年区间的表现</w:t>
      </w:r>
    </w:p>
    <w:p>
      <w:r>
        <w:rPr>
          <w:b/>
          <w:sz w:val="20"/>
        </w:rPr>
        <w:t>表 15  跨期稳健性（同一策略，仅更换区间）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/>
            <w:r>
              <w:rPr>
                <w:b/>
                <w:sz w:val="18"/>
              </w:rPr>
              <w:t>区间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信号数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策略累计收益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策略夏普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策略最大回撤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市场累计收益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市场夏普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超额收益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8"/>
              </w:rPr>
              <w:t>2018-2019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3810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+37.60%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0.66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−29.17%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−11.48%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−0.14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+49.1pp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8"/>
              </w:rPr>
              <w:t>2020-2021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4423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+112.64%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1.53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−15.28%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+47.52%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1.11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+65.1pp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8"/>
              </w:rPr>
              <w:t>2022-2023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5397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+28.54%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0.58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−16.00%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−0.01%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+28.6pp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8"/>
              </w:rPr>
              <w:t>2024-2025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4136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−14.20%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+34.33%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0.73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+71.3pp</w:t>
            </w:r>
          </w:p>
        </w:tc>
      </w:tr>
    </w:tbl>
    <w:p/>
    <w:p>
      <w:pPr>
        <w:pStyle w:val="ListBullet"/>
      </w:pPr>
      <w:r>
        <w:t>好的一面：策略在四个区间全部为正，包括 2018 年大熊市（市场 −11.5%，策略 +37.6%）与 2022-2023 横盘市（市场 0%，策略 +28.5%）。超额收益 +28.6pp ~ +71.3pp，方向一致。</w:t>
      </w:r>
    </w:p>
    <w:p>
      <w:pPr>
        <w:pStyle w:val="ListBullet"/>
      </w:pPr>
      <w:r>
        <w:t>警惕的一面：绝对收益在 +28.5% ~ +112.6% 之间，相差近 4 倍；夏普在 0.58 ~ 1.67 之间。2024-2025 的 +106% 不是孤例（2020-2021 也是 +113%），但高收益区间都对应高波动、动量有效的环境。换句话说，“+106%”是这种环境下的产物，不是策略的稳定年化水平。2018-2019 区间最大回撤高达 −29.17%。</w:t>
      </w:r>
    </w:p>
    <w:p>
      <w:pPr>
        <w:pStyle w:val="Heading2"/>
      </w:pPr>
      <w:r>
        <w:t>7.7 成本敏感性：这是最脆弱的假设</w:t>
      </w:r>
    </w:p>
    <w:p>
      <w:r>
        <w:rPr>
          <w:b w:val="0"/>
          <w:i w:val="0"/>
        </w:rPr>
        <w:t>策略年换手 28.3×，成本假设几乎线性地侵蚀收益：</w:t>
      </w:r>
    </w:p>
    <w:p>
      <w:r>
        <w:rPr>
          <w:b/>
          <w:sz w:val="20"/>
        </w:rPr>
        <w:t>表 16  成本敏感性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/>
            <w:r>
              <w:rPr>
                <w:b/>
                <w:sz w:val="18"/>
              </w:rPr>
              <w:t>单边成本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累计收益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年化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夏普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18"/>
              </w:rPr>
              <w:t>最大回撤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+117.85%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+47.95%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1.80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−13.97%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0.10%（基准）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+43.73%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−14.20%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0.20%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+94.13%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+39.62%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1.55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−14.42%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0.30%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+83.25%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+35.62%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1.43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−14.64%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8"/>
              </w:rPr>
              <w:t>0.50%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+63.26%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+27.97%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1.17</w:t>
            </w:r>
          </w:p>
        </w:tc>
        <w:tc>
          <w:tcPr>
            <w:tcW w:type="dxa" w:w="1958"/>
          </w:tcPr>
          <w:p>
            <w:r/>
            <w:r>
              <w:rPr>
                <w:sz w:val="18"/>
              </w:rPr>
              <w:t>−15.08%</w:t>
            </w:r>
          </w:p>
        </w:tc>
      </w:tr>
    </w:tbl>
    <w:p/>
    <w:p>
      <w:r>
        <w:rPr>
          <w:b w:val="0"/>
          <w:i w:val="0"/>
        </w:rPr>
        <w:t>单边 0.10% 是偏乐观假设（对本文票池中的中小市值、高波动个股，含冲击成本的真实往返成本常在 0.4%~1.0%）。成本每翻一倍，年化减少约 4~8 个百分点。策略不会因此亏钱，但“翻倍”会缩水到“六十几个点”。</w:t>
      </w:r>
    </w:p>
    <w:p>
      <w:pPr>
        <w:pStyle w:val="Heading2"/>
      </w:pPr>
      <w:r>
        <w:t>7.8 收益来源分解：模型到底贡献了多少</w:t>
      </w:r>
    </w:p>
    <w:p>
      <w:r>
        <w:rPr>
          <w:b/>
          <w:sz w:val="20"/>
        </w:rPr>
        <w:t>表 17  收益来源分解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2 年累计收益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(A) 无技巧基准：同交易日、同交易笔数的随机选股（200 次中位数）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+48.25%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牛市 beta + 止损机制 + 票池漂移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(B) 真实模型信号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模型贡献 (B)−(A)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+57.4pp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约占总收益的 54%</w:t>
            </w:r>
          </w:p>
        </w:tc>
      </w:tr>
    </w:tbl>
    <w:p/>
    <w:p>
      <w:r>
        <w:rPr>
          <w:b w:val="0"/>
          <w:i w:val="0"/>
        </w:rPr>
        <w:t>信号本身的原始边际（不含组合约束）：买入信号持有 20 日均值 +7.33%、胜率 70.1%，票池内不加筛选仅 +1.93%、胜率 55.6%；完美预言机（只买真实拉伸类）为 +9.58%。即模型实现了预言机收益的约 77%。</w:t>
      </w:r>
    </w:p>
    <w:p>
      <w:r>
        <w:rPr>
          <w:b/>
          <w:sz w:val="20"/>
        </w:rPr>
        <w:t>表 18  高置信度买入信号（pred=2 且 p≥0.5）逐年的精度与 lift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890"/>
          </w:tcPr>
          <w:p>
            <w:r/>
            <w:r>
              <w:rPr>
                <w:b/>
                <w:sz w:val="18"/>
              </w:rPr>
              <w:t>年份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2016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2017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2018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2019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2020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890"/>
          </w:tcPr>
          <w:p>
            <w:r/>
            <w:r>
              <w:rPr>
                <w:b/>
                <w:sz w:val="18"/>
              </w:rPr>
              <w:t>2025</w:t>
            </w:r>
          </w:p>
        </w:tc>
      </w:tr>
      <w:tr>
        <w:tc>
          <w:tcPr>
            <w:tcW w:type="dxa" w:w="890"/>
          </w:tcPr>
          <w:p>
            <w:r/>
            <w:r>
              <w:rPr>
                <w:sz w:val="18"/>
              </w:rPr>
              <w:t>样本数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324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127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198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438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432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317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287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281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535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358</w:t>
            </w:r>
          </w:p>
        </w:tc>
      </w:tr>
      <w:tr>
        <w:tc>
          <w:tcPr>
            <w:tcW w:type="dxa" w:w="890"/>
          </w:tcPr>
          <w:p>
            <w:r/>
            <w:r>
              <w:rPr>
                <w:sz w:val="18"/>
              </w:rPr>
              <w:t>精度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58.6%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33.9%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51.5%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66.0%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62.3%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54.6%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46.0%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47.0%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70.8%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60.1%</w:t>
            </w:r>
          </w:p>
        </w:tc>
      </w:tr>
      <w:tr>
        <w:tc>
          <w:tcPr>
            <w:tcW w:type="dxa" w:w="890"/>
          </w:tcPr>
          <w:p>
            <w:r/>
            <w:r>
              <w:rPr>
                <w:sz w:val="18"/>
              </w:rPr>
              <w:t>池基准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37.9%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23.5%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23.5%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42.9%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40.0%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42.9%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29.9%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26.8%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43.1%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42.5%</w:t>
            </w:r>
          </w:p>
        </w:tc>
      </w:tr>
      <w:tr>
        <w:tc>
          <w:tcPr>
            <w:tcW w:type="dxa" w:w="890"/>
          </w:tcPr>
          <w:p>
            <w:r/>
            <w:r>
              <w:rPr>
                <w:sz w:val="18"/>
              </w:rPr>
              <w:t>lift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1.55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1.44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2.19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1.54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1.56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1.27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1.54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1.75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1.64</w:t>
            </w:r>
          </w:p>
        </w:tc>
        <w:tc>
          <w:tcPr>
            <w:tcW w:type="dxa" w:w="890"/>
          </w:tcPr>
          <w:p>
            <w:r/>
            <w:r>
              <w:rPr>
                <w:sz w:val="18"/>
              </w:rPr>
              <w:t>1.41</w:t>
            </w:r>
          </w:p>
        </w:tc>
      </w:tr>
    </w:tbl>
    <w:p/>
    <w:p>
      <w:r>
        <w:rPr>
          <w:b w:val="0"/>
          <w:i w:val="0"/>
        </w:rPr>
        <w:t>十年的 lift 稳定在 1.27~2.19，没有出现“只有回测期特别好”的形态。这既支持“模型有真实但温和的判别力”，也说明收益量级主要来自标签定义（46% 的基础发生率 × 大幅支付）。</w:t>
      </w:r>
    </w:p>
    <w:p>
      <w:pPr>
        <w:pStyle w:val="Heading2"/>
      </w:pPr>
      <w:r>
        <w:t>7.9 专项审计：为什么可以确认“+106%”不是算错的</w:t>
      </w:r>
    </w:p>
    <w:p>
      <w:r>
        <w:rPr>
          <w:b/>
          <w:sz w:val="20"/>
        </w:rPr>
        <w:t>表 19  回测正确性专项审计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b/>
                <w:sz w:val="18"/>
              </w:rPr>
              <w:t>审计项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3264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账务勾稽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最终净值 − 1 是否等于 Σ逐笔盈亏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2.0566 − 1 = 1.0566，差额 0.000000 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模型复现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重算预测与任务二保存的预测数组是否一致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21,330 / 21,330 = 100.00% 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未来函数（跳空）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信号日收盘→次日开盘的跳空是否被计入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均值 +0.075%，且未计入（按开盘价成交）✅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未来函数（路径）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买入信号收益是否集中在第 1 天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第1日 +0.21%、第5日 +1.82%、第10日 +3.73%、第20日 +7.33% 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日期对齐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打乱 (code,date) 映射后优势是否消失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真实 +7.33%；打乱 20 次均值 +2.08% 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标签定义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逆向规则能否 100% 复现标签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21,330 个样本命中率 100% 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价格合法性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OHLC 是否满足 low≤open,close≤high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违反率 0.000% 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复权处理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close 推算涨跌幅 vs pct_chg 字段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中位误差 0.0000%；仅 0.18% 行 &gt;5%（除权日，方向为低估）✅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极端值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标签是否被数据异常驱动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真实拉伸类 20 日收益中位数 +7.72%，非离群值拉动 ✅</w:t>
            </w:r>
          </w:p>
        </w:tc>
      </w:tr>
    </w:tbl>
    <w:p/>
    <w:p>
      <w:pPr>
        <w:pStyle w:val="Heading2"/>
      </w:pPr>
      <w:r>
        <w:t>7.10 排序敏感性：本策略最大的脆弱点</w:t>
      </w:r>
    </w:p>
    <w:p>
      <w:r>
        <w:rPr>
          <w:b w:val="0"/>
          <w:i w:val="0"/>
        </w:rPr>
        <w:t>这是第 2.1 节“逐位复现”引出的发现。策略每天最多持 10 只，当同日买入信号多于空余仓位时，按 p(拉伸) 从高到低排序建仓。这个排序对概率的微小扰动极其敏感：</w:t>
      </w:r>
    </w:p>
    <w:p>
      <w:r>
        <w:rPr>
          <w:b/>
          <w:sz w:val="20"/>
        </w:rPr>
        <w:t>表 20  仓位分配排序敏感性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对 p(拉伸) 施加的扰动 σ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2 年累计收益 均值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区间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1σ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0（基准）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+105.66%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+112.53%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[+105.32%, +119.42%]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4.16pp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0.005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+114.92%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[+100.77%, +135.79%]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8.22pp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0.020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+112.42%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[+93.63%, +150.90%]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12.88pp</w:t>
            </w:r>
          </w:p>
        </w:tc>
      </w:tr>
    </w:tbl>
    <w:p/>
    <w:p>
      <w:r>
        <w:rPr>
          <w:b/>
          <w:i w:val="0"/>
        </w:rPr>
        <w:t>σ=0.005 的概率扰动远小于任何有意义的模型差异，却能让 2 年收益在 +100.8% ~ +135.8% 之间摆动。这也解释了为什么最初那版“98.76% 一致率”的复现会得到 +112.25%，而逐位一致后是 +105.66%：差额来自 8 个正好卡在 p=0.5 边界上的信号（901 → 893 个），以及同日信号的排序先后 —— 两者都是“临界值效应”，而不是交易逻辑或信号集合发生了实质变化（2024-2025 区间内由卖出信号触发的平仓在两版中都是 0 笔）。含义：本策略的绝对收益数字带有 ±10pp 量级的分配噪声，不应被当作精确的业绩预测；相对结论（优于市场、模型有 lift）则稳健得多。</w:t>
      </w:r>
    </w:p>
    <w:p>
      <w:pPr>
        <w:pStyle w:val="Heading1"/>
      </w:pPr>
      <w:r>
        <w:t>8. 局限性与风险提示</w:t>
      </w:r>
    </w:p>
    <w:p>
      <w:r>
        <w:rPr>
          <w:b/>
        </w:rPr>
        <w:t xml:space="preserve">1. </w:t>
      </w:r>
      <w:r>
        <w:t>票池是按标签分层的抽样，但并未“人为富集拉伸机会”——这一点此前版本报告写错了。2024-2025 子集标签分布为下跌 21.1% / 震荡 36.2% / 拉伸 42.8%；实测真实全市场（2,956 只股票 × 528 个交易日）拉伸类基础比例为 46.4%，比票池还高，下跌类 27.2% 也高于票池的 21.1%；全市场 20 日收益均值 +1.63% 与票池 +1.93% 基本一致。因此“绝对收益不可外推”的理由不是票池富集。</w:t>
      </w:r>
    </w:p>
    <w:p>
      <w:r>
        <w:rPr>
          <w:b/>
        </w:rPr>
        <w:t xml:space="preserve">2. </w:t>
      </w:r>
      <w:r>
        <w:t>无法完全排除重叠窗口的信息污染。train.csv / val.csv 已不在工作区，无法确认训练样本日期。诊断显示：同一股票的相邻测试样本间隔中位数 225 天、最小 42 天（无 4 天以内近邻），测试集在个股维度是时间稀疏采样的；但仍有 17.6% 的相邻样本间隔 &lt; 85 天（约 60 个交易日），其 60 日窗口可能与训练样本部分重叠。这是本报告最大的不确定性来源。旁证：逐年 lift 无异常（7.8 节）。</w:t>
      </w:r>
    </w:p>
    <w:p>
      <w:r>
        <w:rPr>
          <w:b/>
        </w:rPr>
        <w:t xml:space="preserve">3. </w:t>
      </w:r>
      <w:r>
        <w:t>训练/测试划分不是按时间切分。测试集覆盖 2016-2025 全部年份，“2024-2025 回测”在样本层面是留出的，但在市场状态层面并非严格样本外。</w:t>
      </w:r>
    </w:p>
    <w:p>
      <w:r>
        <w:rPr>
          <w:b/>
        </w:rPr>
        <w:t xml:space="preserve">4. </w:t>
      </w:r>
      <w:r>
        <w:t>单一市场环境。2024-2025 年 A 股整体上行（全市场等权 +34%），策略是纯多头；跨期检验（7.6 节）显示2018-2019 熊市区间收益仅 +37.6%、回撤 −29.2%。</w:t>
      </w:r>
    </w:p>
    <w:p>
      <w:r>
        <w:rPr>
          <w:b/>
        </w:rPr>
        <w:t xml:space="preserve">5. </w:t>
      </w:r>
      <w:r>
        <w:t>成本假设偏乐观。换手 28.3×/年，单边 0.10% 的假设对中小市值高波动股偏低；提到 0.5% 后收益降至 +63.26%。</w:t>
      </w:r>
    </w:p>
    <w:p>
      <w:r>
        <w:rPr>
          <w:b/>
        </w:rPr>
        <w:t xml:space="preserve">6. </w:t>
      </w:r>
      <w:r>
        <w:t>仓位分配的路径依赖很强。排序扰动 σ=0.005 即可让 2 年收益摆动 ±8pp 以上（7.10 节）。</w:t>
      </w:r>
    </w:p>
    <w:p>
      <w:r>
        <w:rPr>
          <w:b/>
        </w:rPr>
        <w:t xml:space="preserve">7. </w:t>
      </w:r>
      <w:r>
        <w:t>未建模的现实摩擦：涨跌停无法成交、停牌、流动性冲击、资金规模约束等均未计入。</w:t>
      </w:r>
    </w:p>
    <w:p>
      <w:r>
        <w:rPr>
          <w:b/>
        </w:rPr>
        <w:t xml:space="preserve">8. </w:t>
      </w:r>
      <w:r>
        <w:t>无真实指数基准。源数据不含沪深 300 / 中证 500 行情，用全市场等权日收益作基准，该基准偏小盘。</w:t>
      </w:r>
    </w:p>
    <w:p>
      <w:pPr>
        <w:pStyle w:val="Heading1"/>
      </w:pPr>
      <w:r>
        <w:t>9. 结论与改进建议</w:t>
      </w:r>
    </w:p>
    <w:p>
      <w:pPr>
        <w:pStyle w:val="ListBullet"/>
      </w:pPr>
      <w:r>
        <w:t>任务二的三分类模型具备可交易的方向判别能力，但强度温和。2024-2025 真实价格回测中，策略取得累计 +105.66%、年化 +43.73%、夏普 1.67、最大回撤 −14.20%，显著优于全市场买入持有。</w:t>
      </w:r>
    </w:p>
    <w:p>
      <w:pPr>
        <w:pStyle w:val="ListBullet"/>
      </w:pPr>
      <w:r>
        <w:t>风险控制是收益质量的决定性来源。5% 止损 + 15% 止盈把年化波动从 37.11% 压到 23.30%、夏普从 1.31 提到 1.67、最大回撤从 −18.78% 收窄到 −14.20%。风控不是收益来源，但显著提升了单位风险收益。</w:t>
      </w:r>
    </w:p>
    <w:p>
      <w:pPr>
        <w:pStyle w:val="ListBullet"/>
      </w:pPr>
      <w:r>
        <w:t>模型确实贡献了 alpha，而非只是搭上牛市。随机选股安慰剂（200 次）中位收益 +48.25%，真实信号 +105.66% 优于全部随机结果（p ≤ 0.005）。</w:t>
      </w:r>
    </w:p>
    <w:p>
      <w:pPr>
        <w:pStyle w:val="ListBullet"/>
      </w:pPr>
      <w:r>
        <w:t>策略对阈值、止损止盈、持仓期、执行时点、仓位容量均不敏感，不是单点过拟合的产物。</w:t>
      </w:r>
    </w:p>
    <w:p>
      <w:pPr>
        <w:pStyle w:val="ListBullet"/>
      </w:pPr>
      <w:r>
        <w:t>但 +105.66% 不是策略的正常年化水平。量级来自三件事叠加：标签本身的高基础发生率（真实市场 46.4%）× 模型约 1.5 倍的稳定 lift × 拉伸类股票 20 日 +9.58% 的支付。跨区间看 2 年收益在 +28.5% ~ +112.6%；约 48pp 来自无技巧基准；成本提到单边 0.5% 后降至 +63.26%；排序噪声带来 ±8pp 量级摆动。合理表述是：“策略在 2024-2025 取得了显著正超额收益，年化 +44% 的绝对水平不可直接外推”。</w:t>
      </w:r>
    </w:p>
    <w:p>
      <w:r>
        <w:rPr>
          <w:b/>
          <w:i w:val="0"/>
        </w:rPr>
        <w:t>改进建议（按优先级）：</w:t>
      </w:r>
    </w:p>
    <w:p>
      <w:r>
        <w:rPr>
          <w:b/>
        </w:rPr>
        <w:t xml:space="preserve">1. </w:t>
      </w:r>
      <w:r>
        <w:t>在真实全市场日频截面上重跑同一策略（而不是只在分层抽样票池上），这是得到可信绝对收益水平的前提。</w:t>
      </w:r>
    </w:p>
    <w:p>
      <w:r>
        <w:rPr>
          <w:b/>
        </w:rPr>
        <w:t xml:space="preserve">2. </w:t>
      </w:r>
      <w:r>
        <w:t>补齐训练/验证样本的日期（若原始 train.csv / val.csv 可找回），用“按时间切分 + 间隔 purge”重训，彻底消除重叠窗口风险。</w:t>
      </w:r>
    </w:p>
    <w:p>
      <w:r>
        <w:rPr>
          <w:b/>
        </w:rPr>
        <w:t xml:space="preserve">3. </w:t>
      </w:r>
      <w:r>
        <w:t>做真实的成本压力测试：按票池个股实际流动性估计含冲击成本的双边成本（而非固定 0.10%），这是本策略第二脆弱的假设（见 7.7 节）。</w:t>
      </w:r>
    </w:p>
    <w:p>
      <w:r>
        <w:rPr>
          <w:b/>
        </w:rPr>
        <w:t xml:space="preserve">4. </w:t>
      </w:r>
      <w:r>
        <w:t>降低排序敏感性：把“按 p 排序取前 10”改为按 p 分层加权（p 越高仓位越大），或扩大持仓数到 20~30 只并同步降低单仓位比例——测试表明 3.3% × 30 可把夏普提到 2.33、回撤压到 −6.75%，且分散后排序噪声影响显著稀释。</w:t>
      </w:r>
    </w:p>
    <w:p>
      <w:r>
        <w:rPr>
          <w:b/>
        </w:rPr>
        <w:t xml:space="preserve">5. </w:t>
      </w:r>
      <w:r>
        <w:t>加入概率校准与集成：用 Platt/Isotonic 校准 p(拉伸)，并把 LSTM/GRU/TCN 预测做集成。</w:t>
      </w:r>
    </w:p>
    <w:p>
      <w:r>
        <w:rPr>
          <w:b/>
        </w:rPr>
        <w:t xml:space="preserve">6. </w:t>
      </w:r>
      <w:r>
        <w:t>用标签定义对齐持有期：标签视界是 50 日，而策略在 20 日（或更优的 10 日）退出。可尝试“止盈 12%（标签阈值）+ 移动止损”，更贴合“捕捉冲高”的标签含义。</w:t>
      </w:r>
    </w:p>
    <w:p>
      <w:r>
        <w:rPr>
          <w:b/>
        </w:rPr>
        <w:t xml:space="preserve">7. </w:t>
      </w:r>
      <w:r>
        <w:t>做事件复核：随机抽取 20~30 笔交易，人工核对信号日、成交价与行情走势（本报告 7.9 节已用统计方法做过等价检验）。</w:t>
      </w:r>
    </w:p>
    <w:p>
      <w:pPr>
        <w:pStyle w:val="Heading1"/>
      </w:pPr>
      <w:r>
        <w:t>10. 交付物与复现方式</w:t>
      </w:r>
    </w:p>
    <w:p>
      <w:r>
        <w:rPr>
          <w:b/>
          <w:sz w:val="20"/>
        </w:rPr>
        <w:t>表 21 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task3_prepare_data.py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复现任务二模型 → 恢复真实 (code,date) → 提取真实 OHLC 面板与全市场基准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task3_backtest_2024_2025.py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事件驱动回测引擎、绩效指标、基准、敏感性分析、全部图表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task3_multiperiod_check.py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跨期稳健性检验：同一策略在 4 个 2 年区间回测（第 7.6 节）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build_task3_docx.py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生成本 Word 报告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task3_2024_2025_results/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metrics.json、逐笔交易、日频净值、敏感性表、fig01~fig10</w:t>
            </w:r>
          </w:p>
        </w:tc>
      </w:tr>
    </w:tbl>
    <w:p/>
    <w:p>
      <w:r>
        <w:rPr>
          <w:b/>
          <w:i w:val="0"/>
        </w:rPr>
        <w:t>复现命令：</w:t>
      </w:r>
    </w:p>
    <w:p>
      <w:r>
        <w:rPr>
          <w:b w:val="0"/>
          <w:i/>
        </w:rPr>
        <w:t>cd /Users/daiguorui/VSProject/dataset</w:t>
        <w:br/>
        <w:t>MPLCONFIGDIR=.matplotlib_cache .venv/bin/python task3_prepare_data.py</w:t>
        <w:br/>
        <w:t>MPLCONFIGDIR=.matplotlib_cache .venv/bin/python task3_backtest_2024_2025.py</w:t>
        <w:br/>
        <w:t>MPLCONFIGDIR=.matplotlib_cache .venv/bin/python task3_multiperiod_check.py   # 可选</w:t>
      </w:r>
    </w:p>
    <w:p>
      <w:r>
        <w:rPr>
          <w:b w:val="0"/>
          <w:i/>
        </w:rPr>
        <w:t>全部数字来源于 task3_2024_2025_results/metrics.json、multiperiod_performance.csv 与 model_check.json，可复现。v1.2 修订：模型复现改为逐位一致（100%，此前 98.76%）；更正标签阈值（±12%，先触发者优先）；更正“票池富集”的错误结论；新增第 7.6~7.10 节；全部绩效数字按逐位一致的预测重算（主策略累计收益 +112.25% → +105.66%）。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F3564"/>
      <w:sz w:val="30"/>
      <w:szCs w:val="28"/>
      <w:rFonts w:eastAsia="PingFang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F3564"/>
      <w:sz w:val="26"/>
      <w:szCs w:val="26"/>
      <w:rFonts w:eastAsia="PingFang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F3564"/>
      <w:sz w:val="23"/>
      <w:rFonts w:eastAsia="PingFang S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