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2016-02-01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viviana ayala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viviana ayala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060164662-3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