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alvaro macias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alvaro macias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050179954-8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