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viviana ayala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WARTSILA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José Mascote 101</w:t>
              <w:tab/>
              <w:t>TELÉFONO 04-2394165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