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fernando avila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fernando avila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