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2016-01-08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Salinas N14-101 y Riofrio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amadeo suarez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amadeo suarez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5150244745422155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suarez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2523385/2433637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suarez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2523385/2433637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amadeo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2523385/2433637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2523385/2433637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(FECHA)__2016-01-08____SE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amadeo suarez             </w:t>
        <w:tab/>
        <w:tab/>
        <w:t>Nombre amadeo suarez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