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2016-01-26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171524143100-1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Sucre 11-32 y Gral Torres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isabel luna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isabel luna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6011918955250826705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luna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07-2827811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luna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07-2827811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isabel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07-2827811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07-2827811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(FECHA)__2016-01-26____SE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isabel luna             </w:t>
        <w:tab/>
        <w:tab/>
        <w:t>Nombre isabel luna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