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Quito 2016-03-01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HALLIBURTON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patricia rivas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patricia rivas;con C.I. /RUC # 40119729800-1 Teléfono/Dirección: Matilde de Procel 245 y Mariana de Jesus Capelo, en fecha, 2016-03-01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patricia rivas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Supervisor de Cajas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