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soledad deleon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soledad deleon,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soledad deleon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soledad deleon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091305612-3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091305612-3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