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
          國立陽明交通大學  National Yang Ming Chiao Tung University
          <w:br/>
          114學年度 第1學期 可信任人工智慧 Trustworthy AI 課程綱要
        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（中文）可信任人工智慧
                <w:br/>
                （英文）Trustworthy AI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電機碩    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EEEE30044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上課時間/教室：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R567-EE208[GF]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游家牧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選修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*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微積分、深度學習、python程式設計 (Tensorflow/PyTorch)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可信任人工智慧涵蓋範圍非常廣泛，本課程著重在人工智慧的模型安全與資料隱私等議題，其他包含公平性、可解釋性、透明性、分布偏移等主題僅在需要時提及。</w:t>
              <w:br/>
              <w:t>
</w:t>
              <w:br/>
              <w:t>
本課程先修科目包含深度學習。課程設計上並非是教授深度學習，因此雖然在提及相關專有名詞時將有快速回顧，但是基本上希望同學們在上課前就能夠對一些如contrastive learning、transformer、meta-learning等 專有名詞能有基本認識。</w:t>
              <w:br/>
              <w:t>
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>本課程並無指定教科書，但是有多本相關參考書。</w:t>
              <w:br/>
              <w:t>
1.	Kush R. Varshney. Trustworthy Machine Learning. Independently published, 2022.</w:t>
              <w:br/>
              <w:t>
2.	David J. Miller, Zhen Xiang, George Kesidis. Adversarial Learning and Secure AI. Cambridge University Press, 2023.</w:t>
              <w:br/>
              <w:t>
3.	Chris Ategeka. Safeguarding Humanity: A Comprehensive Guide to AI Safety. Positude Publishing, 2023.</w:t>
              <w:br/>
              <w:t>
4.	Patrick Hall, James Curtis, Parul Pandey. Machine Learning for High-Risk Applications: Approaches to Responsible AI. O'Reilly Media, 2023.</w:t>
              <w:br/>
              <w:t>
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模型強韌性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對抗攻擊與防禦等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模型安全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後門攻擊、下毒攻擊、模型竊取等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資料隱私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成員推理、屬性推理、聯邦學習等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模型對齊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提示注入、越獄、閃避過濾等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智財權管理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提示竊取、模型擁有權、資料智財權規避等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密碼相關技巧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同態加密、差分隱私、零知識證明、安全多方計算等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沒有期中考、期末考。</w:t>
              <w:br/>
              <w:t>
2~4次作業：共佔60%</w:t>
              <w:br/>
              <w:t>
期末專題：佔40%</w:t>
              <w:br/>
              <w:t>
</w:t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無</w:t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每週二上午10:00~12:00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田家炳513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chiamuyu@nycu.edu.tw</w:t>
            </w:r>
          </w:p>
        </w:tc>
      </w:tr>
    </w:tbl>
    <w:tbl>
      <w:tblGrid>
        <w:gridCol w:w="500" w:type="dxa"/>
        <w:gridCol w:w="2500" w:type="dxa"/>
        <w:gridCol w:w="7000" w:type="dxa"/>
        <w:gridCol w:w="500" w:type="dxa"/>
      </w:tblGrid>
      <w:tblPr>
        <w:tblStyle w:val="syllabus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教師授課時數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2025-09-04(四)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可信任人工智慧概論 </w:t>
              <w:br/>
              <w:t>
Overview of trustworthy AI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[2025-09-04]游家牧(3)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2025-09-11(四)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密碼相關技巧 (如同態加密、差分隱私、零知識證明、安全多方計算等)</w:t>
              <w:br/>
              <w:t>
Cryptographic techniques (e.g., homomorphic encryption, differential privacy, zero-knowledge proof, secure multiparty computation etc.)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[2025-09-11]游家牧(3)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2025-09-18(四)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密碼相關技巧 (如同態加密、差分隱私、零知識證明、安全多方計算等)</w:t>
              <w:br/>
              <w:t>
Cryptographic techniques (e.g., homomorphic encryption, differential privacy, zero-knowledge proof, secure multiparty computation etc.)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[2025-09-18]游家牧(3)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2025-09-25(四)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密碼相關技巧 (如同態加密、差分隱私、零知識證明、安全多方計算等)</w:t>
              <w:br/>
              <w:t>
Cryptographic techniques (e.g., homomorphic encryption, differential privacy, zero-knowledge proof, secure multiparty computation etc.)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[2025-09-25]游家牧(3)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2025-10-02(四)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模型強韌性 (如對抗攻擊與防禦)</w:t>
              <w:br/>
              <w:t>
Model robustness (e.g., adversarial attacks and defenses)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[2025-10-02]游家牧(3)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2025-10-09(四)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模型強韌性 (如對抗攻擊與防禦)</w:t>
              <w:br/>
              <w:t>
Model robustness (e.g., adversarial attacks and defenses)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[2025-10-09]游家牧(3)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2025-10-16(四)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模型安全 (如後門攻擊、下毒攻擊、模型竊取等)</w:t>
              <w:br/>
              <w:t>
Model security (e.g., backdoor attacks data poisoning, model stealing etc.)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[2025-10-16]游家牧(3)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2025-10-23(四)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模型安全 (如後門攻擊、下毒攻擊、梯度洩漏等)</w:t>
              <w:br/>
              <w:t>
Model security (e.g., backdoor attacks, data poisoning, model stealing etc.)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[2025-10-23]游家牧(3)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2025-10-30(四)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期末報告題目提案 </w:t>
              <w:br/>
              <w:t>
Final project  proposal (by students)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[2025-10-30]游家牧(3)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2025-11-06(四)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資料隱私 (如成員推理、屬性推理、聯邦學習等)</w:t>
              <w:br/>
              <w:t>
Data privacy (membership inference, attribute inference, deep leakage of gradient etc.)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[2025-11-06]游家牧(3)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2025-11-13(四)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資料隱私 (如成員推理、屬性推理、聯邦學習等)</w:t>
              <w:br/>
              <w:t>
Data privacy (membership inference, attribute inference, deep leakage of gradient etc.)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[2025-11-13]游家牧(3)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2025-11-20(四)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模型對齊 (如提示注入、越獄、閃避過濾等)</w:t>
              <w:br/>
              <w:t>
Model alignment (e.g., prompt injection, jailbreak, safety filter evasion etc.)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[2025-11-20]游家牧(3)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2025-11-27(四)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模型對齊 (如提示注入、越獄、閃避過濾等)</w:t>
              <w:br/>
              <w:t>
Model alignment (e.g., prompt injection, jailbreak, safety filter evasion etc.)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[2025-11-27]游家牧(3)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2025-12-04(四)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智財權管理 (如提示竊取、模型擁有權、資料智財權規避等)</w:t>
              <w:br/>
              <w:t>
Intellectual property management (e.g., prompt stealing, model ownership, concept removal)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[2025-12-04]游家牧(3)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2025-12-11(四)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智財權管理 (如提示竊取、模型擁有權、資料智財權規避等)</w:t>
              <w:br/>
              <w:t>
Intellectual property management (e.g., prompt stealing, model ownership, concept removal)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[2025-12-11]游家牧(3)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2025-12-18(四)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期末專題報告</w:t>
              <w:br/>
              <w:t>
Final project  presentation (by students)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　[2025-12-18]游家牧(3)</w:t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Copyright©2025 National Yang Ming Chiao Tung University ALL RIGHTS RESERVED.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59999999999997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2025-06-14T21:53:20+08:00</dcterms:created>
  <dcterms:modified xsi:type="dcterms:W3CDTF">2025-06-14T21:53:20+08:00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