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Style w:val="MSJHBD-SB16pt"/>
        </w:rPr>
        <w:t xml:space="preserve">
          國立陽明交通大學  National Yang Ming Chiao Tung University
          <w:br/>
          114學年度 第1學期 半導體元件可靠度及其失效物理 Reliability and Failure Physics of Semiconductor Devices 課程綱要
        </w:t>
      </w:r>
    </w:p>
    <w:tbl>
      <w:tblGrid>
        <w:gridCol w:w="3000" w:type="dxa"/>
        <w:gridCol w:w="2000" w:type="dxa"/>
        <w:gridCol w:w="3000" w:type="dxa"/>
        <w:gridCol w:w="2000" w:type="dxa"/>
        <w:gridCol w:w="3000" w:type="dxa"/>
        <w:gridCol w:w="2000" w:type="dxa"/>
      </w:tblGrid>
      <w:tblPr>
        <w:tblStyle w:val="myTable"/>
      </w:tblPr>
      <w:tr>
        <w:trPr/>
        <w:tc>
          <w:tcPr>
            <w:tcW w:w="7000" w:type="dxa"/>
            <w:gridSpan w:val="4"/>
            <w:vMerge w:val="restart"/>
          </w:tcPr>
          <w:p>
            <w:pPr>
              <w:jc w:val="left"/>
            </w:pPr>
            <w:r>
              <w:rPr>
                <w:rStyle w:val="MSJHBD-SB12pt"/>
              </w:rPr>
              <w:t xml:space="preserve">
                課程名稱：
                <w:br/>
                （中文）半導體元件可靠度及其失效物理
                <w:br/>
                （英文）Reliability and Failure Physics of Semiconductor Devices
              </w:t>
            </w:r>
          </w:p>
        </w:tc>
        <w:tc>
          <w:tcPr>
            <w:tcW w:w="3000" w:type="dxa"/>
          </w:tcPr>
          <w:p>
            <w:pPr>
              <w:jc w:val="left"/>
            </w:pPr>
            <w:r>
              <w:rPr>
                <w:rStyle w:val="MSJHBD-SB12pt"/>
              </w:rPr>
              <w:t xml:space="preserve">開課單位：</w:t>
            </w:r>
          </w:p>
        </w:tc>
        <w:tc>
          <w:tcPr>
            <w:tcW w:w="3000" w:type="dxa"/>
          </w:tcPr>
          <w:p>
            <w:pPr>
              <w:jc w:val="left"/>
            </w:pPr>
            <w:r>
              <w:rPr>
                <w:rStyle w:val="BlueMSJHBD-SB12pt"/>
              </w:rPr>
              <w:t xml:space="preserve">電子碩    </w:t>
            </w:r>
          </w:p>
        </w:tc>
      </w:tr>
      <w:tr>
        <w:trPr/>
        <w:tc>
          <w:tcPr>
            <w:tcW w:w="7000" w:type="dxa"/>
            <w:gridSpan w:val="4"/>
            <w:vMerge w:val="continue"/>
          </w:tcPr>
          <w:p/>
        </w:tc>
        <w:tc>
          <w:tcPr>
            <w:tcW w:w="3000" w:type="dxa"/>
          </w:tcPr>
          <w:p>
            <w:pPr>
              <w:jc w:val="left"/>
            </w:pPr>
            <w:r>
              <w:rPr>
                <w:rStyle w:val="MSJHBD-SB12pt"/>
              </w:rPr>
              <w:t xml:space="preserve">永久課號：</w:t>
            </w:r>
          </w:p>
        </w:tc>
        <w:tc>
          <w:tcPr>
            <w:tcW w:w="3000" w:type="dxa"/>
          </w:tcPr>
          <w:p>
            <w:pPr>
              <w:jc w:val="left"/>
            </w:pPr>
            <w:r>
              <w:rPr>
                <w:rStyle w:val="BlueMSJHBD-SB12pt"/>
              </w:rPr>
              <w:t xml:space="preserve">EEIE30089</w:t>
            </w:r>
          </w:p>
        </w:tc>
      </w:tr>
      <w:tr>
        <w:trPr/>
        <w:tc>
          <w:tcPr>
            <w:tcW w:w="7000" w:type="dxa"/>
            <w:gridSpan w:val="4"/>
            <w:vMerge w:val="continue"/>
          </w:tcPr>
          <w:p/>
        </w:tc>
        <w:tc>
          <w:tcPr>
            <w:tcW w:w="3000" w:type="dxa"/>
          </w:tcPr>
          <w:p>
            <w:pPr>
              <w:jc w:val="left"/>
            </w:pPr>
            <w:r>
              <w:rPr>
                <w:rStyle w:val="MSJHBD-SB12pt"/>
              </w:rPr>
              <w:t xml:space="preserve">上課時間/教室：</w:t>
            </w:r>
          </w:p>
        </w:tc>
        <w:tc>
          <w:tcPr>
            <w:tcW w:w="3000" w:type="dxa"/>
          </w:tcPr>
          <w:p>
            <w:pPr>
              <w:jc w:val="left"/>
            </w:pPr>
            <w:r>
              <w:rPr>
                <w:rStyle w:val="BlueMSJHBD-SB12pt"/>
              </w:rPr>
              <w:t xml:space="preserve">M234-ED202[GF]</w:t>
            </w:r>
          </w:p>
        </w:tc>
      </w:tr>
      <w:tr>
        <w:trPr/>
        <w:tc>
          <w:tcPr>
            <w:tcW w:w="13000" w:type="dxa"/>
            <w:gridSpan w:val="6"/>
          </w:tcPr>
          <w:p>
            <w:pPr>
              <w:jc w:val="left"/>
            </w:pPr>
            <w:r>
              <w:rPr>
                <w:rStyle w:val="MSJHBD-SB12pt"/>
              </w:rPr>
              <w:t xml:space="preserve">授課教師：</w:t>
            </w:r>
          </w:p>
          <w:p>
            <w:pPr>
              <w:jc w:val="left"/>
            </w:pPr>
            <w:r>
              <w:rPr>
                <w:rStyle w:val="BlueMSJHBD-SB12pt"/>
              </w:rPr>
              <w:t xml:space="preserve">吳添立</w:t>
            </w:r>
          </w:p>
        </w:tc>
      </w:tr>
      <w:tr>
        <w:trPr/>
        <w:tc>
          <w:tcPr>
            <w:tcW w:w="3000" w:type="dxa"/>
          </w:tcPr>
          <w:p>
            <w:pPr>
              <w:jc w:val="left"/>
            </w:pPr>
            <w:r>
              <w:rPr>
                <w:rStyle w:val="MSJHBD-SB12pt"/>
              </w:rPr>
              <w:t xml:space="preserve">學分數：</w:t>
            </w:r>
          </w:p>
        </w:tc>
        <w:tc>
          <w:tcPr>
            <w:tcW w:w="2000" w:type="dxa"/>
          </w:tcPr>
          <w:p>
            <w:pPr>
              <w:jc w:val="left"/>
            </w:pPr>
            <w:r>
              <w:rPr>
                <w:rStyle w:val="BlueMSJHBD-SB12pt"/>
              </w:rPr>
              <w:t xml:space="preserve">3.00</w:t>
            </w:r>
          </w:p>
        </w:tc>
        <w:tc>
          <w:tcPr>
            <w:tcW w:w="3000" w:type="dxa"/>
          </w:tcPr>
          <w:p>
            <w:pPr>
              <w:jc w:val="left"/>
            </w:pPr>
            <w:r>
              <w:rPr>
                <w:rStyle w:val="MSJHBD-SB12pt"/>
              </w:rPr>
              <w:t xml:space="preserve">必／選修：</w:t>
            </w:r>
          </w:p>
        </w:tc>
        <w:tc>
          <w:tcPr>
            <w:tcW w:w="2000" w:type="dxa"/>
          </w:tcPr>
          <w:p>
            <w:pPr>
              <w:jc w:val="left"/>
            </w:pPr>
            <w:r>
              <w:rPr>
                <w:rStyle w:val="BlueMSJHBD-SB12pt"/>
              </w:rPr>
              <w:t xml:space="preserve">選修</w:t>
            </w:r>
          </w:p>
        </w:tc>
        <w:tc>
          <w:tcPr>
            <w:tcW w:w="3000" w:type="dxa"/>
          </w:tcPr>
          <w:p>
            <w:pPr>
              <w:jc w:val="left"/>
            </w:pPr>
            <w:r>
              <w:rPr>
                <w:rStyle w:val="MSJHBD-SB12pt"/>
              </w:rPr>
              <w:t xml:space="preserve">開課年級：</w:t>
            </w:r>
          </w:p>
        </w:tc>
        <w:tc>
          <w:tcPr>
            <w:tcW w:w="2000" w:type="dxa"/>
          </w:tcPr>
          <w:p>
            <w:pPr>
              <w:jc w:val="left"/>
            </w:pPr>
            <w:r>
              <w:rPr>
                <w:rStyle w:val="BlueMSJHBD-SB12pt"/>
              </w:rPr>
              <w:t xml:space="preserve">*</w:t>
            </w:r>
          </w:p>
        </w:tc>
      </w:tr>
      <w:tr>
        <w:trPr/>
        <w:tc>
          <w:tcPr>
            <w:tcW w:w="13000" w:type="dxa"/>
            <w:gridSpan w:val="6"/>
          </w:tcPr>
          <w:p>
            <w:pPr>
              <w:jc w:val="left"/>
            </w:pPr>
            <w:r>
              <w:rPr>
                <w:rStyle w:val="MSJHBD-SB12pt"/>
              </w:rPr>
              <w:t xml:space="preserve">先修科目或先備能力：</w:t>
            </w:r>
          </w:p>
          <w:p>
            <w:pPr>
              <w:jc w:val="left"/>
            </w:pPr>
            <w:r>
              <w:rPr>
                <w:rStyle w:val="BlueMSJHBD-SB12pt"/>
              </w:rPr>
              <w:t xml:space="preserve">半導體物理與元件
Semiconductor Physics and Devices </w:t>
            </w:r>
          </w:p>
        </w:tc>
      </w:tr>
      <w:tr>
        <w:trPr/>
        <w:tc>
          <w:tcPr>
            <w:tcW w:w="13000" w:type="dxa"/>
            <w:gridSpan w:val="6"/>
          </w:tcPr>
          <w:p>
            <w:pPr>
              <w:jc w:val="left"/>
            </w:pPr>
            <w:r>
              <w:rPr>
                <w:rStyle w:val="MSJHBD-SB12pt"/>
              </w:rPr>
              <w:t xml:space="preserve">課程概述與目標：</w:t>
            </w:r>
          </w:p>
          <w:p>
            <w:pPr>
              <w:jc w:val="left"/>
            </w:pPr>
            <w:r>
              <w:rPr>
                <w:rStyle w:val="BlueMSJHBD-SB12pt"/>
              </w:rPr>
              <w:t xml:space="preserve">"Reliability is, after all, engineering in its most practical form" said by James R. Schlesinger - Former US Secretary of State for Defense. Reliability is an essential part of a successful semiconductor product because it is related to trust. No reliability is equal to no business. Especially, the new technologies based on the advanced designs and novel materials, e.g., FinFETs, high k dielectrics, wide bandgap, Ferroelectric, or 2D materials, cannot be commercialized without the proven reliability. Therefore, a good R＆amp;D engineer should recognize the statistical tools/characterization methods, identify the reliability issues,and evaluate failure physics, further designing for reliability. In this course, the basic semiconductor devices/processes, statistical tools, and characterization methods for reliability evaluation are covered. Furthermore, four most important main reliability challenges (Bias temperature instability ＆amp; interface traps / Time dependent dielectric breakdown / Mass transport-induced failures / Electrostatic discharge (ESD)) will be addressed in this class. </w:t>
              <w:br/>
              <w:t>
</w:t>
              <w:br/>
              <w:t>
前美國國防部部長 James R. Schlesinger曾說：可靠度是工程中最實際的層面。高可靠度是所有半導體產品成功的重要因素，因為可靠度與客戶對產品的信任有關。沒有可靠度等於沒有客戶的信賴而失去商業價值。對先進的半導體技術，例如FinFET、高介電常數絕緣層、寬能隙、鐵電或二維材料等，如果無法通過可靠度驗證，這些技術將無法商品化。因此，優秀的研發工程師應該具備評估可靠度所需統計工具/量測方法來確定可靠度問題，並評估特性衰退的物理特性，並進一步設計高可靠度產品。本課程中將深入淺出的介紹基本半導體元件/製程及可靠度評估所需的統計工具和量測方法。此外，本課程也將會探討四個最重要也最常見的半導體元件可靠度議題（偏壓溫度不穩定性和界面缺陷 Bias temperature instability ＆amp; interface traps / 依時性閘極崩潰 Time dependent dielectric breakdown / 質量傳輸引起的故障 Mass transport-induced failures / 靜電放電 ESD）。</w:t>
              <w:br/>
              <w:t>
</w:t>
              <w:br/>
              <w:t>
Intended Learning Outcomes (ILOs):</w:t>
              <w:br/>
              <w:t>
By the end of this class, you should be able to:</w:t>
              <w:br/>
              <w:t>
1. Explain the basic operation principles and fabrication processes for the MOS type semiconductor technologies</w:t>
              <w:br/>
              <w:t>
2. Apply the basic statistics/statistical tools for reliability analysis </w:t>
              <w:br/>
              <w:t>
3. Evaluate the failure physics of reliability issues </w:t>
              <w:br/>
              <w:t>
4. Present the reliability issues using your own word</w:t>
              <w:br/>
              <w:t>
5. Design for reliability (DFR)</w:t>
              <w:br/>
              <w:t>
</w:t>
              <w:br/>
              <w:t>
預期學習成果：</w:t>
              <w:br/>
              <w:t>
在本課程結束時，修課的學生能夠：</w:t>
              <w:br/>
              <w:t>
1.解釋MOS半導體技術的基本工作原理和製程</w:t>
              <w:br/>
              <w:t>
2.應用基本的統計工具進行可靠度分析</w:t>
              <w:br/>
              <w:t>
3.評估導致不穩定元件特性的失效物理機制</w:t>
              <w:br/>
              <w:t>
4.闡述對可靠度問題的見解</w:t>
              <w:br/>
              <w:t>
5.增強可靠度的元件設計（Design for reliability）</w:t>
              <w:br/>
              <w:t>
</w:t>
              <w:br/>
              <w:t>
2024 recorded lecture videos for your preview</w:t>
              <w:br/>
              <w:t>
欲預先了解課程內容，可參考2024上課影音</w:t>
              <w:br/>
              <w:t>
https://www.youtube.com/watch?v=ZWhreQrVSvM＆amp;list=PLOj85jQ5D7J_xsygusdSgi1Xvxum-n6Ic</w:t>
            </w:r>
          </w:p>
        </w:tc>
      </w:tr>
      <w:tr>
        <w:trPr/>
        <w:tc>
          <w:tcPr>
            <w:tcW w:w="5000" w:type="dxa"/>
            <w:gridSpan w:val="2"/>
          </w:tcPr>
          <w:p>
            <w:pPr>
              <w:jc w:val="left"/>
            </w:pPr>
            <w:r>
              <w:rPr>
                <w:rStyle w:val="MSJHBD-SB12pt"/>
              </w:rPr>
              <w:t xml:space="preserve">教科書（請註明書名、作者、出版社、出版年等資訊）：</w:t>
            </w:r>
          </w:p>
        </w:tc>
        <w:tc>
          <w:tcPr>
            <w:tcW w:w="5000" w:type="dxa"/>
            <w:gridSpan w:val="4"/>
          </w:tcPr>
          <w:p>
            <w:pPr>
              <w:jc w:val="left"/>
            </w:pPr>
            <w:r>
              <w:rPr>
                <w:rStyle w:val="BlueMSJHBD-SB12pt"/>
              </w:rPr>
              <w:t xml:space="preserve">1. M. Ohring, Reliability and Failure of Electronic Materials and Devices, 2nd Edition, 2014.</w:t>
              <w:br/>
              <w:t>
2. Literature in reliability issues</w:t>
            </w:r>
          </w:p>
        </w:tc>
      </w:tr>
    </w:tbl>
    <w:tbl>
      <w:tblGrid>
        <w:gridCol w:w="3000" w:type="dxa"/>
        <w:gridCol w:w="3000" w:type="dxa"/>
        <w:gridCol w:w="1000" w:type="dxa"/>
        <w:gridCol w:w="1000" w:type="dxa"/>
        <w:gridCol w:w="1000" w:type="dxa"/>
        <w:gridCol w:w="1000" w:type="dxa"/>
        <w:gridCol w:w="3000" w:type="dxa"/>
      </w:tblGrid>
      <w:tblPr>
        <w:tblStyle w:val="outlineTable"/>
      </w:tblPr>
      <w:tr>
        <w:trPr/>
        <w:tc>
          <w:tcPr>
            <w:tcW w:w="8000" w:type="dxa"/>
            <w:gridSpan w:val="2"/>
          </w:tcPr>
          <w:p>
            <w:pPr>
              <w:jc w:val="center"/>
            </w:pPr>
            <w:r>
              <w:rPr>
                <w:rStyle w:val="MSJHBD-SB12pt"/>
              </w:rPr>
              <w:t xml:space="preserve">課程大網</w:t>
            </w:r>
          </w:p>
        </w:tc>
        <w:tc>
          <w:tcPr>
            <w:tcW w:w="2000" w:type="dxa"/>
            <w:gridSpan w:val="4"/>
          </w:tcPr>
          <w:p>
            <w:pPr>
              <w:jc w:val="center"/>
            </w:pPr>
            <w:r>
              <w:rPr>
                <w:rStyle w:val="MSJHBD-SB12pt"/>
              </w:rPr>
              <w:t xml:space="preserve">分配時數</w:t>
            </w:r>
          </w:p>
        </w:tc>
        <w:tc>
          <w:tcPr>
            <w:tcW w:w="3000" w:type="dxa"/>
            <w:vMerge w:val="restart"/>
          </w:tcPr>
          <w:p>
            <w:pPr>
              <w:jc w:val="center"/>
            </w:pPr>
            <w:r>
              <w:rPr>
                <w:rStyle w:val="MSJHBD-SB12pt"/>
              </w:rPr>
              <w:t xml:space="preserve">備註</w:t>
            </w:r>
          </w:p>
        </w:tc>
      </w:tr>
      <w:tr>
        <w:trPr/>
        <w:tc>
          <w:tcPr>
            <w:tcW w:w="3000" w:type="dxa"/>
          </w:tcPr>
          <w:p>
            <w:pPr>
              <w:jc w:val="center"/>
            </w:pPr>
            <w:r>
              <w:rPr>
                <w:rStyle w:val="MSJHBD-SB12pt"/>
              </w:rPr>
              <w:t xml:space="preserve">單元主題</w:t>
            </w:r>
          </w:p>
        </w:tc>
        <w:tc>
          <w:tcPr>
            <w:tcW w:w="3000" w:type="dxa"/>
          </w:tcPr>
          <w:p>
            <w:pPr>
              <w:jc w:val="center"/>
            </w:pPr>
            <w:r>
              <w:rPr>
                <w:rStyle w:val="MSJHBD-SB12pt"/>
              </w:rPr>
              <w:t xml:space="preserve">內容綱要</w:t>
            </w:r>
          </w:p>
        </w:tc>
        <w:tc>
          <w:tcPr>
            <w:tcW w:w="1000" w:type="dxa"/>
          </w:tcPr>
          <w:p>
            <w:pPr>
              <w:jc w:val="center"/>
            </w:pPr>
            <w:r>
              <w:rPr>
                <w:rStyle w:val="MSJHBD-SB12pt"/>
              </w:rPr>
              <w:t xml:space="preserve">講授</w:t>
            </w:r>
          </w:p>
        </w:tc>
        <w:tc>
          <w:tcPr>
            <w:tcW w:w="1000" w:type="dxa"/>
          </w:tcPr>
          <w:p>
            <w:pPr>
              <w:jc w:val="center"/>
            </w:pPr>
            <w:r>
              <w:rPr>
                <w:rStyle w:val="MSJHBD-SB12pt"/>
              </w:rPr>
              <w:t xml:space="preserve">示範</w:t>
            </w:r>
          </w:p>
        </w:tc>
        <w:tc>
          <w:tcPr>
            <w:tcW w:w="1000" w:type="dxa"/>
          </w:tcPr>
          <w:p>
            <w:pPr>
              <w:jc w:val="center"/>
            </w:pPr>
            <w:r>
              <w:rPr>
                <w:rStyle w:val="MSJHBD-SB12pt"/>
              </w:rPr>
              <w:t xml:space="preserve">習作</w:t>
            </w:r>
          </w:p>
        </w:tc>
        <w:tc>
          <w:tcPr>
            <w:tcW w:w="1000" w:type="dxa"/>
          </w:tcPr>
          <w:p>
            <w:pPr>
              <w:jc w:val="center"/>
            </w:pPr>
            <w:r>
              <w:rPr>
                <w:rStyle w:val="MSJHBD-SB12pt"/>
              </w:rPr>
              <w:t xml:space="preserve">其他</w:t>
            </w:r>
          </w:p>
        </w:tc>
        <w:tc>
          <w:tcPr>
            <w:tcW w:w="3000" w:type="dxa"/>
            <w:vMerge w:val="continue"/>
          </w:tcPr>
          <w:p>
            <w:pPr>
              <w:jc w:val="center"/>
            </w:pPr>
            <w:r>
              <w:rPr>
                <w:rStyle w:val="MSJHBD-SB12pt"/>
              </w:rPr>
              <w:t xml:space="preserve"/>
            </w:r>
          </w:p>
        </w:tc>
      </w:tr>
    </w:tbl>
    <w:tbl>
      <w:tblGrid>
        <w:gridCol w:w="2000" w:type="dxa"/>
        <w:gridCol w:w="5000" w:type="dxa"/>
        <w:gridCol w:w="2000" w:type="dxa"/>
        <w:gridCol w:w="4000" w:type="dxa"/>
      </w:tblGrid>
      <w:tblPr>
        <w:tblStyle w:val="descriptionDataTable"/>
      </w:tblPr>
      <w:tr>
        <w:trPr/>
        <w:tc>
          <w:tcPr>
            <w:tcW w:w="13000" w:type="dxa"/>
            <w:gridSpan w:val="4"/>
          </w:tcPr>
          <w:p>
            <w:pPr>
              <w:jc w:val="left"/>
            </w:pPr>
            <w:r>
              <w:rPr>
                <w:rStyle w:val="MSJHBD-SB12pt"/>
              </w:rPr>
              <w:t xml:space="preserve">教學要點概述：</w:t>
            </w:r>
          </w:p>
        </w:tc>
      </w:tr>
      <w:tr>
        <w:trPr/>
        <w:tc>
          <w:tcPr>
            <w:tcW w:w="13000" w:type="dxa"/>
            <w:gridSpan w:val="4"/>
          </w:tcPr>
          <w:p>
            <w:pPr>
              <w:jc w:val="left"/>
            </w:pPr>
            <w:r>
              <w:rPr>
                <w:rStyle w:val="MSJHBD-SB12pt"/>
              </w:rPr>
              <w:t xml:space="preserve">1.學期作業、考試、評量：</w:t>
            </w:r>
          </w:p>
          <w:p>
            <w:pPr>
              <w:jc w:val="left"/>
            </w:pPr>
            <w:r>
              <w:rPr>
                <w:rStyle w:val="BlueMSJHBD-SB12pt"/>
              </w:rPr>
              <w:t xml:space="preserve">分組報告 An oral presentation based on a selected topic: 35%</w:t>
              <w:br/>
              <w:t>
期末open-book 考試 Final open-book written exam : 35%</w:t>
              <w:br/>
              <w:t>
作業 Homework: 15%</w:t>
              <w:br/>
              <w:t>
出席 Attendance: 15%</w:t>
            </w:r>
          </w:p>
          <w:p>
            <w:pPr>
              <w:jc w:val="left"/>
            </w:pPr>
            <w:r>
              <w:rPr>
                <w:rStyle w:val="MSJHBD-SB12pt"/>
              </w:rPr>
              <w:t xml:space="preserve">2.教學方法及教學相關配合事項（如助教、網站或圖書及資料庫等）</w:t>
            </w:r>
          </w:p>
          <w:p>
            <w:pPr>
              <w:jc w:val="left"/>
            </w:pPr>
            <w:r>
              <w:rPr>
                <w:rStyle w:val="BlueMSJHBD-SB12pt"/>
              </w:rPr>
              <w:t xml:space="preserve">投影片並搭配線上影音 Powerpoint with some video/on-line lectures are used. </w:t>
              <w:br/>
              <w:t>
電子筆記 Digital notes in the powerpoint are provided after each chapter. </w:t>
              <w:br/>
              <w:t>
實際練習及使用量測機台進行半導體元件可靠度 Reliability measurement </w:t>
            </w:r>
          </w:p>
        </w:tc>
      </w:tr>
      <w:tr>
        <w:trPr/>
        <w:tc>
          <w:tcPr>
            <w:tcW w:w="2000" w:type="dxa"/>
            <w:vMerge w:val="restart"/>
          </w:tcPr>
          <w:p>
            <w:pPr>
              <w:jc w:val="left"/>
            </w:pPr>
            <w:r>
              <w:rPr>
                <w:rStyle w:val="MSJHBD-SB12pt"/>
              </w:rPr>
              <w:t xml:space="preserve">師生晤談</w:t>
            </w:r>
          </w:p>
        </w:tc>
        <w:tc>
          <w:tcPr>
            <w:tcW w:w="5000" w:type="dxa"/>
          </w:tcPr>
          <w:p>
            <w:pPr>
              <w:jc w:val="left"/>
            </w:pPr>
            <w:r>
              <w:rPr>
                <w:rStyle w:val="MSJHBD-SB12pt"/>
              </w:rPr>
              <w:t xml:space="preserve">排定時間</w:t>
            </w:r>
          </w:p>
        </w:tc>
        <w:tc>
          <w:tcPr>
            <w:tcW w:w="2000" w:type="dxa"/>
          </w:tcPr>
          <w:p>
            <w:pPr>
              <w:jc w:val="left"/>
            </w:pPr>
            <w:r>
              <w:rPr>
                <w:rStyle w:val="MSJHBD-SB12pt"/>
              </w:rPr>
              <w:t xml:space="preserve">地點</w:t>
            </w:r>
          </w:p>
        </w:tc>
        <w:tc>
          <w:tcPr>
            <w:tcW w:w="4000" w:type="dxa"/>
          </w:tcPr>
          <w:p>
            <w:pPr>
              <w:jc w:val="left"/>
            </w:pPr>
            <w:r>
              <w:rPr>
                <w:rStyle w:val="MSJHBD-SB12pt"/>
              </w:rPr>
              <w:t xml:space="preserve">聯絡方式</w:t>
            </w:r>
          </w:p>
        </w:tc>
      </w:tr>
      <w:tr>
        <w:trPr/>
        <w:tc>
          <w:tcPr>
            <w:tcW w:w="2000" w:type="dxa"/>
            <w:vMerge w:val="continue"/>
          </w:tcPr>
          <w:p>
            <w:pPr>
              <w:jc w:val="left"/>
            </w:pPr>
            <w:r>
              <w:rPr>
                <w:rStyle w:val="MSJHBD-SB12pt"/>
              </w:rPr>
              <w:t xml:space="preserve"/>
            </w:r>
          </w:p>
        </w:tc>
        <w:tc>
          <w:tcPr>
            <w:tcW w:w="5000" w:type="dxa"/>
          </w:tcPr>
          <w:p>
            <w:pPr>
              <w:jc w:val="left"/>
            </w:pPr>
            <w:r>
              <w:rPr>
                <w:rStyle w:val="BlueMSJHBD-SB12pt"/>
              </w:rPr>
              <w:t xml:space="preserve">By appointment</w:t>
            </w:r>
          </w:p>
        </w:tc>
        <w:tc>
          <w:tcPr>
            <w:tcW w:w="2000" w:type="dxa"/>
          </w:tcPr>
          <w:p>
            <w:pPr>
              <w:jc w:val="left"/>
            </w:pPr>
            <w:r>
              <w:rPr>
                <w:rStyle w:val="BlueMSJHBD-SB12pt"/>
              </w:rPr>
              <w:t xml:space="preserve">ED536</w:t>
            </w:r>
          </w:p>
        </w:tc>
        <w:tc>
          <w:tcPr>
            <w:tcW w:w="4000" w:type="dxa"/>
          </w:tcPr>
          <w:p>
            <w:pPr>
              <w:jc w:val="left"/>
            </w:pPr>
            <w:r>
              <w:rPr>
                <w:rStyle w:val="BlueMSJHBD-SB12pt"/>
              </w:rPr>
              <w:t xml:space="preserve">tlwu@nycu.edu.tw</w:t>
            </w:r>
          </w:p>
        </w:tc>
      </w:tr>
    </w:tbl>
    <w:tbl>
      <w:tblGrid>
        <w:gridCol w:w="500" w:type="dxa"/>
        <w:gridCol w:w="2500" w:type="dxa"/>
        <w:gridCol w:w="7000" w:type="dxa"/>
        <w:gridCol w:w="500" w:type="dxa"/>
      </w:tblGrid>
      <w:tblPr>
        <w:tblStyle w:val="syllabusDataTable"/>
      </w:tblPr>
      <w:tr>
        <w:trPr/>
        <w:tc>
          <w:tcPr>
            <w:tcW w:w="13000" w:type="dxa"/>
            <w:gridSpan w:val="4"/>
          </w:tcPr>
          <w:p>
            <w:pPr>
              <w:jc w:val="left"/>
            </w:pPr>
            <w:r>
              <w:rPr>
                <w:rStyle w:val="MSJHBD-SB12pt"/>
              </w:rPr>
              <w:t xml:space="preserve">每週進度表</w:t>
            </w:r>
          </w:p>
        </w:tc>
      </w:tr>
      <w:tr>
        <w:trPr/>
        <w:tc>
          <w:tcPr>
            <w:tcW w:w="500" w:type="dxa"/>
          </w:tcPr>
          <w:p>
            <w:pPr>
              <w:jc w:val="center"/>
            </w:pPr>
            <w:r>
              <w:rPr>
                <w:rStyle w:val="MSJHBD-SB12pt"/>
              </w:rPr>
              <w:t xml:space="preserve">週次</w:t>
            </w:r>
          </w:p>
        </w:tc>
        <w:tc>
          <w:tcPr>
            <w:tcW w:w="2500" w:type="dxa"/>
          </w:tcPr>
          <w:p>
            <w:pPr>
              <w:jc w:val="center"/>
            </w:pPr>
            <w:r>
              <w:rPr>
                <w:rStyle w:val="MSJHBD-SB12pt"/>
              </w:rPr>
              <w:t xml:space="preserve">上課日期</w:t>
            </w:r>
          </w:p>
        </w:tc>
        <w:tc>
          <w:tcPr>
            <w:tcW w:w="7000" w:type="dxa"/>
          </w:tcPr>
          <w:p>
            <w:pPr>
              <w:jc w:val="center"/>
            </w:pPr>
            <w:r>
              <w:rPr>
                <w:rStyle w:val="MSJHBD-SB12pt"/>
              </w:rPr>
              <w:t xml:space="preserve">課程進度、內容、主題</w:t>
            </w:r>
          </w:p>
        </w:tc>
        <w:tc>
          <w:tcPr>
            <w:tcW w:w="500" w:type="dxa"/>
          </w:tcPr>
          <w:p>
            <w:pPr>
              <w:jc w:val="center"/>
            </w:pPr>
            <w:r>
              <w:rPr>
                <w:rStyle w:val="MSJHBD-SB12pt"/>
              </w:rPr>
              <w:t xml:space="preserve">教師授課時數</w:t>
            </w:r>
          </w:p>
        </w:tc>
      </w:tr>
      <w:tr>
        <w:trPr/>
        <w:tc>
          <w:tcPr>
            <w:tcW w:w="500" w:type="dxa"/>
          </w:tcPr>
          <w:p>
            <w:pPr>
              <w:jc w:val="center"/>
            </w:pPr>
            <w:r>
              <w:rPr>
                <w:rStyle w:val="BlueMSJHBD-SB12pt"/>
              </w:rPr>
              <w:t xml:space="preserve">1</w:t>
            </w:r>
          </w:p>
        </w:tc>
        <w:tc>
          <w:tcPr>
            <w:tcW w:w="2500" w:type="dxa"/>
          </w:tcPr>
          <w:p>
            <w:pPr>
              <w:jc w:val="left"/>
            </w:pPr>
            <w:r>
              <w:rPr>
                <w:rStyle w:val="BlueMSJHBD-SB12pt"/>
              </w:rPr>
              <w:t xml:space="preserve">2025-09-01(一)</w:t>
            </w:r>
          </w:p>
        </w:tc>
        <w:tc>
          <w:tcPr>
            <w:tcW w:w="7000" w:type="dxa"/>
          </w:tcPr>
          <w:p>
            <w:pPr>
              <w:jc w:val="left"/>
            </w:pPr>
            <w:r>
              <w:rPr>
                <w:rStyle w:val="BlueMSJHBD-SB12pt"/>
              </w:rPr>
              <w:t xml:space="preserve">Introduction/An Overview of Electronic Devices and Their Reliability </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2</w:t>
            </w:r>
          </w:p>
        </w:tc>
        <w:tc>
          <w:tcPr>
            <w:tcW w:w="2500" w:type="dxa"/>
          </w:tcPr>
          <w:p>
            <w:pPr>
              <w:jc w:val="left"/>
            </w:pPr>
            <w:r>
              <w:rPr>
                <w:rStyle w:val="BlueMSJHBD-SB12pt"/>
              </w:rPr>
              <w:t xml:space="preserve">2025-09-08(一)</w:t>
            </w:r>
          </w:p>
        </w:tc>
        <w:tc>
          <w:tcPr>
            <w:tcW w:w="7000" w:type="dxa"/>
          </w:tcPr>
          <w:p>
            <w:pPr>
              <w:jc w:val="left"/>
            </w:pPr>
            <w:r>
              <w:rPr>
                <w:rStyle w:val="BlueMSJHBD-SB12pt"/>
              </w:rPr>
              <w:t xml:space="preserve">Electronic Devices: How They Operate and Are Fabricated</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3</w:t>
            </w:r>
          </w:p>
        </w:tc>
        <w:tc>
          <w:tcPr>
            <w:tcW w:w="2500" w:type="dxa"/>
          </w:tcPr>
          <w:p>
            <w:pPr>
              <w:jc w:val="left"/>
            </w:pPr>
            <w:r>
              <w:rPr>
                <w:rStyle w:val="BlueMSJHBD-SB12pt"/>
              </w:rPr>
              <w:t xml:space="preserve">2025-09-15(一)</w:t>
            </w:r>
          </w:p>
        </w:tc>
        <w:tc>
          <w:tcPr>
            <w:tcW w:w="7000" w:type="dxa"/>
          </w:tcPr>
          <w:p>
            <w:pPr>
              <w:jc w:val="left"/>
            </w:pPr>
            <w:r>
              <w:rPr>
                <w:rStyle w:val="BlueMSJHBD-SB12pt"/>
              </w:rPr>
              <w:t xml:space="preserve">Electronic Devices: How They Operate and Are Fabricated</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4</w:t>
            </w:r>
          </w:p>
        </w:tc>
        <w:tc>
          <w:tcPr>
            <w:tcW w:w="2500" w:type="dxa"/>
          </w:tcPr>
          <w:p>
            <w:pPr>
              <w:jc w:val="left"/>
            </w:pPr>
            <w:r>
              <w:rPr>
                <w:rStyle w:val="BlueMSJHBD-SB12pt"/>
              </w:rPr>
              <w:t xml:space="preserve">2025-09-22(一)</w:t>
            </w:r>
          </w:p>
        </w:tc>
        <w:tc>
          <w:tcPr>
            <w:tcW w:w="7000" w:type="dxa"/>
          </w:tcPr>
          <w:p>
            <w:pPr>
              <w:jc w:val="left"/>
            </w:pPr>
            <w:r>
              <w:rPr>
                <w:rStyle w:val="BlueMSJHBD-SB12pt"/>
              </w:rPr>
              <w:t xml:space="preserve">Defects, Contaminants, and Yield </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5</w:t>
            </w:r>
          </w:p>
        </w:tc>
        <w:tc>
          <w:tcPr>
            <w:tcW w:w="2500" w:type="dxa"/>
          </w:tcPr>
          <w:p>
            <w:pPr>
              <w:jc w:val="left"/>
            </w:pPr>
            <w:r>
              <w:rPr>
                <w:rStyle w:val="BlueMSJHBD-SB12pt"/>
              </w:rPr>
              <w:t xml:space="preserve">2025-09-29(一)</w:t>
            </w:r>
          </w:p>
        </w:tc>
        <w:tc>
          <w:tcPr>
            <w:tcW w:w="7000" w:type="dxa"/>
          </w:tcPr>
          <w:p>
            <w:pPr>
              <w:jc w:val="left"/>
            </w:pPr>
            <w:r>
              <w:rPr>
                <w:rStyle w:val="BlueMSJHBD-SB12pt"/>
              </w:rPr>
              <w:t xml:space="preserve">The Mathematics of Failure and Reliability </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6</w:t>
            </w:r>
          </w:p>
        </w:tc>
        <w:tc>
          <w:tcPr>
            <w:tcW w:w="2500" w:type="dxa"/>
          </w:tcPr>
          <w:p>
            <w:pPr>
              <w:jc w:val="left"/>
            </w:pPr>
            <w:r>
              <w:rPr>
                <w:rStyle w:val="BlueMSJHBD-SB12pt"/>
              </w:rPr>
              <w:t xml:space="preserve">2025-10-06(一)</w:t>
            </w:r>
          </w:p>
        </w:tc>
        <w:tc>
          <w:tcPr>
            <w:tcW w:w="7000" w:type="dxa"/>
          </w:tcPr>
          <w:p>
            <w:pPr>
              <w:jc w:val="left"/>
            </w:pPr>
            <w:r>
              <w:rPr>
                <w:rStyle w:val="BlueMSJHBD-SB12pt"/>
              </w:rPr>
              <w:t xml:space="preserve">Holiday </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7</w:t>
            </w:r>
          </w:p>
        </w:tc>
        <w:tc>
          <w:tcPr>
            <w:tcW w:w="2500" w:type="dxa"/>
          </w:tcPr>
          <w:p>
            <w:pPr>
              <w:jc w:val="left"/>
            </w:pPr>
            <w:r>
              <w:rPr>
                <w:rStyle w:val="BlueMSJHBD-SB12pt"/>
              </w:rPr>
              <w:t xml:space="preserve">2025-10-13(一)</w:t>
            </w:r>
          </w:p>
        </w:tc>
        <w:tc>
          <w:tcPr>
            <w:tcW w:w="7000" w:type="dxa"/>
          </w:tcPr>
          <w:p>
            <w:pPr>
              <w:jc w:val="left"/>
            </w:pPr>
            <w:r>
              <w:rPr>
                <w:rStyle w:val="BlueMSJHBD-SB12pt"/>
              </w:rPr>
              <w:t xml:space="preserve">The Mathematics of Failure and Reliability /Bias temperature instability ＆amp; interface traps</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8</w:t>
            </w:r>
          </w:p>
        </w:tc>
        <w:tc>
          <w:tcPr>
            <w:tcW w:w="2500" w:type="dxa"/>
          </w:tcPr>
          <w:p>
            <w:pPr>
              <w:jc w:val="left"/>
            </w:pPr>
            <w:r>
              <w:rPr>
                <w:rStyle w:val="BlueMSJHBD-SB12pt"/>
              </w:rPr>
              <w:t xml:space="preserve">2025-10-20(一)</w:t>
            </w:r>
          </w:p>
        </w:tc>
        <w:tc>
          <w:tcPr>
            <w:tcW w:w="7000" w:type="dxa"/>
          </w:tcPr>
          <w:p>
            <w:pPr>
              <w:jc w:val="left"/>
            </w:pPr>
            <w:r>
              <w:rPr>
                <w:rStyle w:val="BlueMSJHBD-SB12pt"/>
              </w:rPr>
              <w:t xml:space="preserve">Bias temperature instability ＆amp; interface traps</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9</w:t>
            </w:r>
          </w:p>
        </w:tc>
        <w:tc>
          <w:tcPr>
            <w:tcW w:w="2500" w:type="dxa"/>
          </w:tcPr>
          <w:p>
            <w:pPr>
              <w:jc w:val="left"/>
            </w:pPr>
            <w:r>
              <w:rPr>
                <w:rStyle w:val="BlueMSJHBD-SB12pt"/>
              </w:rPr>
              <w:t xml:space="preserve">2025-10-27(一)</w:t>
            </w:r>
          </w:p>
        </w:tc>
        <w:tc>
          <w:tcPr>
            <w:tcW w:w="7000" w:type="dxa"/>
          </w:tcPr>
          <w:p>
            <w:pPr>
              <w:jc w:val="left"/>
            </w:pPr>
            <w:r>
              <w:rPr>
                <w:rStyle w:val="BlueMSJHBD-SB12pt"/>
              </w:rPr>
              <w:t xml:space="preserve">Time dependent dielectric breakdown </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10</w:t>
            </w:r>
          </w:p>
        </w:tc>
        <w:tc>
          <w:tcPr>
            <w:tcW w:w="2500" w:type="dxa"/>
          </w:tcPr>
          <w:p>
            <w:pPr>
              <w:jc w:val="left"/>
            </w:pPr>
            <w:r>
              <w:rPr>
                <w:rStyle w:val="BlueMSJHBD-SB12pt"/>
              </w:rPr>
              <w:t xml:space="preserve">2025-11-03(一)</w:t>
            </w:r>
          </w:p>
        </w:tc>
        <w:tc>
          <w:tcPr>
            <w:tcW w:w="7000" w:type="dxa"/>
          </w:tcPr>
          <w:p>
            <w:pPr>
              <w:jc w:val="left"/>
            </w:pPr>
            <w:r>
              <w:rPr>
                <w:rStyle w:val="BlueMSJHBD-SB12pt"/>
              </w:rPr>
              <w:t xml:space="preserve">Time dependent dielectric breakdown </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11</w:t>
            </w:r>
          </w:p>
        </w:tc>
        <w:tc>
          <w:tcPr>
            <w:tcW w:w="2500" w:type="dxa"/>
          </w:tcPr>
          <w:p>
            <w:pPr>
              <w:jc w:val="left"/>
            </w:pPr>
            <w:r>
              <w:rPr>
                <w:rStyle w:val="BlueMSJHBD-SB12pt"/>
              </w:rPr>
              <w:t xml:space="preserve">2025-11-10(一)</w:t>
            </w:r>
          </w:p>
        </w:tc>
        <w:tc>
          <w:tcPr>
            <w:tcW w:w="7000" w:type="dxa"/>
          </w:tcPr>
          <w:p>
            <w:pPr>
              <w:jc w:val="left"/>
            </w:pPr>
            <w:r>
              <w:rPr>
                <w:rStyle w:val="BlueMSJHBD-SB12pt"/>
              </w:rPr>
              <w:t xml:space="preserve">Mass transport-induced failures </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12</w:t>
            </w:r>
          </w:p>
        </w:tc>
        <w:tc>
          <w:tcPr>
            <w:tcW w:w="2500" w:type="dxa"/>
          </w:tcPr>
          <w:p>
            <w:pPr>
              <w:jc w:val="left"/>
            </w:pPr>
            <w:r>
              <w:rPr>
                <w:rStyle w:val="BlueMSJHBD-SB12pt"/>
              </w:rPr>
              <w:t xml:space="preserve">2025-11-17(一)</w:t>
            </w:r>
          </w:p>
        </w:tc>
        <w:tc>
          <w:tcPr>
            <w:tcW w:w="7000" w:type="dxa"/>
          </w:tcPr>
          <w:p>
            <w:pPr>
              <w:jc w:val="left"/>
            </w:pPr>
            <w:r>
              <w:rPr>
                <w:rStyle w:val="BlueMSJHBD-SB12pt"/>
              </w:rPr>
              <w:t xml:space="preserve">Mass transport-induced failures </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13</w:t>
            </w:r>
          </w:p>
        </w:tc>
        <w:tc>
          <w:tcPr>
            <w:tcW w:w="2500" w:type="dxa"/>
          </w:tcPr>
          <w:p>
            <w:pPr>
              <w:jc w:val="left"/>
            </w:pPr>
            <w:r>
              <w:rPr>
                <w:rStyle w:val="BlueMSJHBD-SB12pt"/>
              </w:rPr>
              <w:t xml:space="preserve">2025-11-24(一)</w:t>
            </w:r>
          </w:p>
        </w:tc>
        <w:tc>
          <w:tcPr>
            <w:tcW w:w="7000" w:type="dxa"/>
          </w:tcPr>
          <w:p>
            <w:pPr>
              <w:jc w:val="left"/>
            </w:pPr>
            <w:r>
              <w:rPr>
                <w:rStyle w:val="BlueMSJHBD-SB12pt"/>
              </w:rPr>
              <w:t xml:space="preserve">ESD</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14</w:t>
            </w:r>
          </w:p>
        </w:tc>
        <w:tc>
          <w:tcPr>
            <w:tcW w:w="2500" w:type="dxa"/>
          </w:tcPr>
          <w:p>
            <w:pPr>
              <w:jc w:val="left"/>
            </w:pPr>
            <w:r>
              <w:rPr>
                <w:rStyle w:val="BlueMSJHBD-SB12pt"/>
              </w:rPr>
              <w:t xml:space="preserve">2025-12-01(一)</w:t>
            </w:r>
          </w:p>
        </w:tc>
        <w:tc>
          <w:tcPr>
            <w:tcW w:w="7000" w:type="dxa"/>
          </w:tcPr>
          <w:p>
            <w:pPr>
              <w:jc w:val="left"/>
            </w:pPr>
            <w:r>
              <w:rPr>
                <w:rStyle w:val="BlueMSJHBD-SB12pt"/>
              </w:rPr>
              <w:t xml:space="preserve">ESD/Presentations</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15</w:t>
            </w:r>
          </w:p>
        </w:tc>
        <w:tc>
          <w:tcPr>
            <w:tcW w:w="2500" w:type="dxa"/>
          </w:tcPr>
          <w:p>
            <w:pPr>
              <w:jc w:val="left"/>
            </w:pPr>
            <w:r>
              <w:rPr>
                <w:rStyle w:val="BlueMSJHBD-SB12pt"/>
              </w:rPr>
              <w:t xml:space="preserve">2025-12-08(一)</w:t>
            </w:r>
          </w:p>
        </w:tc>
        <w:tc>
          <w:tcPr>
            <w:tcW w:w="7000" w:type="dxa"/>
          </w:tcPr>
          <w:p>
            <w:pPr>
              <w:jc w:val="left"/>
            </w:pPr>
            <w:r>
              <w:rPr>
                <w:rStyle w:val="BlueMSJHBD-SB12pt"/>
              </w:rPr>
              <w:t xml:space="preserve">Presentations</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16</w:t>
            </w:r>
          </w:p>
        </w:tc>
        <w:tc>
          <w:tcPr>
            <w:tcW w:w="2500" w:type="dxa"/>
          </w:tcPr>
          <w:p>
            <w:pPr>
              <w:jc w:val="left"/>
            </w:pPr>
            <w:r>
              <w:rPr>
                <w:rStyle w:val="BlueMSJHBD-SB12pt"/>
              </w:rPr>
              <w:t xml:space="preserve">2025-12-15(一)</w:t>
            </w:r>
          </w:p>
        </w:tc>
        <w:tc>
          <w:tcPr>
            <w:tcW w:w="7000" w:type="dxa"/>
          </w:tcPr>
          <w:p>
            <w:pPr>
              <w:jc w:val="left"/>
            </w:pPr>
            <w:r>
              <w:rPr>
                <w:rStyle w:val="BlueMSJHBD-SB12pt"/>
              </w:rPr>
              <w:t xml:space="preserve">Final exam</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17</w:t>
            </w:r>
          </w:p>
        </w:tc>
        <w:tc>
          <w:tcPr>
            <w:tcW w:w="2500" w:type="dxa"/>
          </w:tcPr>
          <w:p>
            <w:pPr>
              <w:jc w:val="left"/>
            </w:pPr>
            <w:r>
              <w:rPr>
                <w:rStyle w:val="BlueMSJHBD-SB12pt"/>
              </w:rPr>
              <w:t xml:space="preserve">2025-12-22(一)</w:t>
            </w:r>
          </w:p>
        </w:tc>
        <w:tc>
          <w:tcPr>
            <w:tcW w:w="7000" w:type="dxa"/>
          </w:tcPr>
          <w:p>
            <w:pPr>
              <w:jc w:val="left"/>
            </w:pPr>
            <w:r>
              <w:rPr>
                <w:rStyle w:val="BlueMSJHBD-SB12pt"/>
              </w:rPr>
              <w:t xml:space="preserve">Option</w:t>
            </w:r>
          </w:p>
        </w:tc>
        <w:tc>
          <w:tcPr>
            <w:tcW w:w="500" w:type="dxa"/>
          </w:tcPr>
          <w:p>
            <w:pPr>
              <w:jc w:val="left"/>
            </w:pPr>
            <w:r>
              <w:rPr>
                <w:rStyle w:val="BlueMSJHBD-SB12pt"/>
              </w:rPr>
              <w:t xml:space="preserve"/>
            </w:r>
          </w:p>
        </w:tc>
      </w:tr>
    </w:tbl>
    <w:tbl>
      <w:tblGrid>
        <w:gridCol w:w="13000" w:type="dxa"/>
      </w:tblGrid>
      <w:tblPr>
        <w:tblStyle w:val="noteTable"/>
      </w:tblPr>
      <w:tr>
        <w:trPr/>
        <w:tc>
          <w:tcPr>
            <w:tcW w:w="13000" w:type="dxa"/>
          </w:tcPr>
          <w:p>
            <w:pPr>
              <w:jc w:val="left"/>
            </w:pPr>
            <w:r>
              <w:rPr>
                <w:rStyle w:val="MSJHBD-SB12pt"/>
              </w:rPr>
              <w:t xml:space="preserve">備註：</w:t>
            </w:r>
          </w:p>
        </w:tc>
      </w:tr>
      <w:tr>
        <w:trPr/>
        <w:tc>
          <w:tcPr>
            <w:tcW w:w="13000" w:type="dxa"/>
          </w:tcPr>
          <w:p>
            <w:pPr>
              <w:jc w:val="left"/>
            </w:pPr>
            <w:r>
              <w:rPr>
                <w:rStyle w:val="MSJHBD-SB12pt"/>
              </w:rPr>
              <w:t xml:space="preserve">1.請遵守智慧財產權觀念及勿使用不法影印教科書。</w:t>
            </w:r>
          </w:p>
        </w:tc>
      </w:tr>
      <w:tr>
        <w:trPr/>
        <w:tc>
          <w:tcPr>
            <w:tcW w:w="13000" w:type="dxa"/>
          </w:tcPr>
          <w:p>
            <w:pPr>
              <w:jc w:val="left"/>
            </w:pPr>
            <w:r>
              <w:rPr>
                <w:rStyle w:val="MSJHBD-SB12pt"/>
              </w:rPr>
              <w:t xml:space="preserve">2.其他欄包含參訪、專題演講等活動。</w:t>
            </w:r>
          </w:p>
        </w:tc>
      </w:tr>
      <w:tr>
        <w:trPr/>
        <w:tc>
          <w:tcPr>
            <w:tcW w:w="13000" w:type="dxa"/>
          </w:tcPr>
          <w:p>
            <w:pPr>
              <w:jc w:val="center"/>
            </w:pPr>
            <w:r>
              <w:rPr>
                <w:rStyle w:val="MSJHBD-SB12pt"/>
              </w:rPr>
              <w:t xml:space="preserve"> Copyright©2025 National Yang Ming Chiao Tung University ALL RIGHTS RESERVED.</w:t>
            </w:r>
          </w:p>
        </w:tc>
      </w:tr>
    </w:tbl>
    <w:sectPr>
      <w:pgSz w:orient="portrait" w:w="11905.511811023622" w:h="16837.79527559055"/>
      <w:pgMar w:top="566.9291338582676" w:right="566.9291338582676" w:bottom="566.9291338582676" w:left="566.9291338582676"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微軟正黑體" w:hAnsi="微軟正黑體" w:eastAsia="微軟正黑體" w:cs="微軟正黑體"/>
        <w:sz w:val="24"/>
        <w:szCs w:val="24"/>
        <w:lang w:val="en-US"/>
      </w:rPr>
    </w:rPrDefault>
  </w:docDefaults>
  <w:style w:type="paragraph" w:default="1" w:styleId="Normal">
    <w:name w:val="Normal"/>
    <w:pPr>
      <w:jc w:val="both"/>
      <w:ind w:left="0" w:right="0" w:firstLine="0"/>
      <w:spacing w:before="0" w:after="0" w:line="285.59999999999997" w:lineRule="auto"/>
    </w:pPr>
  </w:style>
  <w:style w:type="character" w:styleId="FootnoteReference">
    <w:name w:val="Footnote Reference"/>
    <w:semiHidden/>
    <w:unhideWhenUsed/>
    <w:rPr>
      <w:vertAlign w:val="superscript"/>
    </w:rPr>
  </w:style>
  <w:style w:type="character">
    <w:name w:val="MSJHBD-SB16pt"/>
    <w:rPr>
      <w:rFonts w:ascii="微軟正黑體" w:hAnsi="微軟正黑體" w:eastAsia="微軟正黑體" w:cs="微軟正黑體"/>
      <w:sz w:val="32"/>
      <w:szCs w:val="32"/>
    </w:rPr>
  </w:style>
  <w:style w:type="character">
    <w:name w:val="MSJHBD-SB12pt"/>
    <w:rPr>
      <w:rFonts w:ascii="微軟正黑體" w:hAnsi="微軟正黑體" w:eastAsia="微軟正黑體" w:cs="微軟正黑體"/>
      <w:sz w:val="24"/>
      <w:szCs w:val="24"/>
    </w:rPr>
  </w:style>
  <w:style w:type="character">
    <w:name w:val="RedMSJHBD-SB12pt"/>
    <w:rPr>
      <w:rFonts w:ascii="微軟正黑體" w:hAnsi="微軟正黑體" w:eastAsia="微軟正黑體" w:cs="微軟正黑體"/>
      <w:color w:val="FF0000"/>
      <w:sz w:val="24"/>
      <w:szCs w:val="24"/>
    </w:rPr>
  </w:style>
  <w:style w:type="character">
    <w:name w:val="BlueMSJHBD-SB12pt"/>
    <w:rPr>
      <w:rFonts w:ascii="微軟正黑體" w:hAnsi="微軟正黑體" w:eastAsia="微軟正黑體" w:cs="微軟正黑體"/>
      <w:color w:val="0000FF"/>
      <w:sz w:val="24"/>
      <w:szCs w:val="24"/>
    </w:rPr>
  </w:style>
  <w:style w:type="character">
    <w:name w:val="DFKai-SB18pt"/>
    <w:rPr>
      <w:rFonts w:ascii="標楷體" w:hAnsi="標楷體" w:eastAsia="標楷體" w:cs="標楷體"/>
      <w:sz w:val="36"/>
      <w:szCs w:val="36"/>
    </w:rPr>
  </w:style>
  <w:style w:type="character">
    <w:name w:val="DFKai-SB12pt"/>
    <w:rPr>
      <w:rFonts w:ascii="標楷體" w:hAnsi="標楷體" w:eastAsia="標楷體" w:cs="標楷體"/>
      <w:sz w:val="24"/>
      <w:szCs w:val="24"/>
    </w:rPr>
  </w:style>
  <w:style w:type="character">
    <w:name w:val="RedDFKai-SB12pt"/>
    <w:rPr>
      <w:rFonts w:ascii="標楷體" w:hAnsi="標楷體" w:eastAsia="標楷體" w:cs="標楷體"/>
      <w:color w:val="FF0000"/>
      <w:sz w:val="24"/>
      <w:szCs w:val="24"/>
    </w:rPr>
  </w:style>
  <w:style w:type="character">
    <w:name w:val="BlueDFKai-SB12pt"/>
    <w:rPr>
      <w:rFonts w:ascii="標楷體" w:hAnsi="標楷體" w:eastAsia="標楷體" w:cs="標楷體"/>
      <w:color w:val="0000FF"/>
      <w:sz w:val="24"/>
      <w:szCs w:val="24"/>
    </w:rPr>
  </w:style>
  <w:style w:type="table" w:customStyle="1" w:styleId="myTable">
    <w:name w:val="my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outlineTable">
    <w:name w:val="outline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descriptionDataTable">
    <w:name w:val="descriptionData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syllabusDataTable">
    <w:name w:val="syllabusData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noteTable">
    <w:name w:val="noteTable"/>
    <w:uiPriority w:val="99"/>
    <w:tblPr>
      <w:tblW w:w="0" w:type="auto"/>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NCTU</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National Chiao Tung University Curriculum Management System</dc:creator>
  <dc:title>國立陽明交通大學課務管理系統之選課系統</dc:title>
  <dc:description>https://ccms.nycu.edu.tw</dc:description>
  <dc:subject/>
  <cp:keywords/>
  <cp:category/>
  <cp:lastModifiedBy>CCMS</cp:lastModifiedBy>
  <dcterms:created xsi:type="dcterms:W3CDTF">2025-06-14T21:54:19+08:00</dcterms:created>
  <dcterms:modified xsi:type="dcterms:W3CDTF">2025-06-14T21:54:19+08:00</dcterms:modified>
</cp:coreProperties>
</file>

<file path=docProps/custom.xml><?xml version="1.0" encoding="utf-8"?>
<Properties xmlns="http://schemas.openxmlformats.org/officeDocument/2006/custom-properties" xmlns:vt="http://schemas.openxmlformats.org/officeDocument/2006/docPropsVTypes"/>
</file>