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RISC-V人工智慧運算架構與系統 (ㄧ) RISCV AI Computing Architecture and System I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（中文）RISC-V人工智慧運算架構與系統 (ㄧ)
                <w:br/>
                （英文）RISCV AI Computing Architecture and System I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資科工碩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CSIC30181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M56-EC329[GF]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陳添福、林偉棻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Python/C Programming
Digital Design
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這門課是作為人工智慧加速晶片設計介紹的入門課程, 我們設定給必須具有基本C or C++ programming 能力的同學來選修，同時希望同學在上課之前要有一些基本的數位設計邏輯概念，尤其以修過基礎計算機組織理論為佳。這門課跟其他系統相關課程的不同之處如下:</w:t>
              <w:br/>
              <w:t>
1.	著重於介紹人工智慧加速晶片設計的基本開發流程與實作</w:t>
              <w:br/>
              <w:t>
2.	著重於軟硬體協同設計的概念</w:t>
              <w:br/>
              <w:t>
3.	著重於理解通用型(general-purpose) 跟客製化(domain-specific) 設計上的差別</w:t>
              <w:br/>
              <w:t>
4.	著重於介紹如何用軟體模擬硬體設計的方法</w:t>
              <w:br/>
              <w:t>
人工智慧加速晶片在過去幾年快速蓬勃地發展，有別於傳統晶片設計，人工智慧晶片的開發並沒有一定的標準架構，不同人工智慧應用領域所需要的人工智慧晶片也有所不同，並沒有一個通用型的人工智慧晶片能滿足所有應用的要求。這門課目的在引領你知道學習人工智慧晶片設計的基礎必備知識，了解晶片設計在人工智慧應用上所需考量的議題，如果你修完這門課能了解到自己的興趣所在，本課程分為(一)（二） 兩門各兩學分的課程，搭配四個Lab 實作主題，每一個主題有3 個Lab，能協助你強化自己的背景知識與專業技能，做好投入職場或是高等教育的準備。這門課的實作部分會花費很多的時間，如果同學能完成這門課的所有實作作業與專題，我預期同學在申請Internship 或是相關研究所領域時，會因為這門課打下很好的基礎。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  <w:br/>
              <w:t>
- [Chisel 3.0 Tutorial paper] (https://inst.eecs.berkeley.edu/~cs250/sp17/handouts/chisel-tutorial.pdf) </w:t>
              <w:br/>
              <w:t>
- [Digital Design in Chisel, 2nd Ed] (http://www.imm.dtu.dk/~masca/chisel-book.pdf)</w:t>
              <w:br/>
              <w:t>
- [RISC-V Learning Online](https://riscv.org/risc-v-learn-online/) 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Labs/Homeworks 70% class participation 10% 上機考20%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採遠距同步與非同步教學混合</w:t>
              <w:br/>
              <w:t>
期末上機考，學生需自備筆電</w:t>
              <w:br/>
              <w:t>
</w:t>
              <w:br/>
              <w:t>
1. 第一堂課請務必來實體課堂上課，你才能開設所有修課需要的帳號, 想加退</w:t>
              <w:br/>
              <w:t>
選的同學只有在第一堂課時來實體教室加簽，你才能選修這堂課</w:t>
              <w:br/>
              <w:t>
</w:t>
              <w:br/>
              <w:t>
由於本課程同步在清華大學跟陽明交通大學開設，第一堂課老師會在清華大學實體教室，做AIAS I 的課程說明，交大會同步線上說明。</w:t>
              <w:br/>
              <w:t>
  1:20pm - 2:50pm Course Overview  實體課程地點開學前會公告</w:t>
              <w:br/>
              <w:t>
  </w:t>
              <w:br/>
              <w:t>
</w:t>
              <w:br/>
              <w:t>
兩個場次的內容是一樣的，如果你想看到老師本人或加簽，請到實體場地</w:t>
              <w:br/>
              <w:t>
</w:t>
              <w:br/>
              <w:t>
選課須知 請參考 [給想選修「人工智慧運算架構與系統(ㄧ)（二）」一門課的同學的一封信 Fall, 2024](https://course.playlab.tw/md/PuH-zSJyQpqWk4u3Qsjm3w?view)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office hour Saturday morning 10:00am-11:00am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線上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weifen＠gapp.nthu.edu.tw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2025-09-01(一)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1-0 logistics</w:t>
              <w:br/>
              <w:t>
Lecture 1-1 Course Overview</w:t>
              <w:br/>
              <w:t>
Lab 1 Description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2025-09-08(一)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2-1 AI Chips Development Landscape and Trends</w:t>
              <w:br/>
              <w:t>
Lab 2 Description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3-1 AI Model Analysis Using Pytorch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2025-09-22(一)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4-1 Leveraging Open Source Projects in</w:t>
              <w:br/>
              <w:t>
AI Computing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2025-09-29(一)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5-1 Introduction to Assembly Language and RISC V Instruction Set Architecture AIAS Lecture 5-2 - More RISC V Instructions and How to Implement Functions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2025-10-06(一)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6-1 - Digital Design Basics</w:t>
              <w:br/>
              <w:t>
Lecture 6-2 - chisel tutorial Lab5 Description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7-1 - RISC-V Instruction Formats </w:t>
              <w:br/>
              <w:t>
Lecture 7- 2- Compiler/Assembler/Linker/Loader Lab4 Description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8-1 - Combinational Chisel Design Review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8-2 - RISC-V datapath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2025-11-03(一)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9-1 - FSM Design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2025-11-10(一)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Chisel Book Chapter 8 – FSM </w:t>
              <w:br/>
              <w:t>
Chisel Book Chapter9 – Part I Communicating FSM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2025-11-17(一)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Lecture 8-1 - Single-Cycle RISC-V Control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2025-11-24(一)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Signle/Cycle CPU Design vs. 5-stage pipelined RISC-V Design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2025-12-01(一)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Group Project Management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2025-12-08(一)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Lab Discussion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2025-12-15(一)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期末上機考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2025-06-14T21:56:04+08:00</dcterms:created>
  <dcterms:modified xsi:type="dcterms:W3CDTF">2025-06-14T21:56:04+08:00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