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
          國立陽明交通大學  National Yang Ming Chiao Tung University
          <w:br/>
          114學年度 第1學期 圖形識別 Pattern Recognition 課程綱要
        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（中文）圖形識別
                <w:br/>
                （英文）Pattern Recognition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多媒體所  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CSIC30034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上課時間/教室：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T34-ED301[GF]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王才沛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選修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*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Data Structures
Mathematics background: Calculus, Linear Algebra, Probability
Programming skills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Learn both fundamental knowledge of both traditional statistical pattern recognition techniques and machine learning based on deep models.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>TBD</w:t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Homework x3, each including programming and experiment report. (60%)</w:t>
              <w:br/>
              <w:t>
Exam x1, written (40%)</w:t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E3</w:t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Tuesdays 12-1, or by appointment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EC709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56689
wangts@cs.nycu.edu.tw</w:t>
            </w:r>
          </w:p>
        </w:tc>
      </w:tr>
    </w:tbl>
    <w:tbl>
      <w:tblGrid>
        <w:gridCol w:w="500" w:type="dxa"/>
        <w:gridCol w:w="2500" w:type="dxa"/>
        <w:gridCol w:w="7000" w:type="dxa"/>
        <w:gridCol w:w="500" w:type="dxa"/>
      </w:tblGrid>
      <w:tblPr>
        <w:tblStyle w:val="syllabus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教師授課時數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2025-09-02(二)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2025-09-09(二)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2025-09-16(二)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2025-09-23(二)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2025-09-30(二)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2025-10-07(二)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2025-10-14(二)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2025-10-21(二)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2025-10-28(二)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10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2025-11-04(二)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2025-11-11(二)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2025-11-18(二)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2025-11-25(二)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2025-12-02(二)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2025-12-09(二)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2025-12-16(二)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Copyright©2025 National Yang Ming Chiao Tung University ALL RIGHTS RESERVED.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59999999999997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國立陽明交通大學課務管理系統之選課系統</dc:title>
  <dc:description>https://ccms.nycu.edu.tw</dc:description>
  <dc:subject/>
  <cp:keywords/>
  <cp:category/>
  <cp:lastModifiedBy>CCMS</cp:lastModifiedBy>
  <dcterms:created xsi:type="dcterms:W3CDTF">2025-06-14T21:57:00+08:00</dcterms:created>
  <dcterms:modified xsi:type="dcterms:W3CDTF">2025-06-14T21:57:00+08:00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