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Style w:val="MSJHBD-SB16pt"/>
        </w:rPr>
        <w:t xml:space="preserve">
          國立陽明交通大學  National Yang Ming Chiao Tung University
          <w:br/>
          114學年度 第1學期 材料測試分析技術原理與應用 Principles and Applications of Materials Characterization Techniques 課程綱要
        </w:t>
      </w:r>
    </w:p>
    <w:tbl>
      <w:tblGrid>
        <w:gridCol w:w="3000" w:type="dxa"/>
        <w:gridCol w:w="2000" w:type="dxa"/>
        <w:gridCol w:w="3000" w:type="dxa"/>
        <w:gridCol w:w="2000" w:type="dxa"/>
        <w:gridCol w:w="3000" w:type="dxa"/>
        <w:gridCol w:w="2000" w:type="dxa"/>
      </w:tblGrid>
      <w:tblPr>
        <w:tblStyle w:val="myTable"/>
      </w:tblPr>
      <w:tr>
        <w:trPr/>
        <w:tc>
          <w:tcPr>
            <w:tcW w:w="7000" w:type="dxa"/>
            <w:gridSpan w:val="4"/>
            <w:vMerge w:val="restart"/>
          </w:tcPr>
          <w:p>
            <w:pPr>
              <w:jc w:val="left"/>
            </w:pPr>
            <w:r>
              <w:rPr>
                <w:rStyle w:val="MSJHBD-SB12pt"/>
              </w:rPr>
              <w:t xml:space="preserve">
                課程名稱：
                <w:br/>
                （中文）材料測試分析技術原理與應用
                <w:br/>
                （英文）Principles and Applications of Materials Characterization Techniques
              </w:t>
            </w:r>
          </w:p>
        </w:tc>
        <w:tc>
          <w:tcPr>
            <w:tcW w:w="3000" w:type="dxa"/>
          </w:tcPr>
          <w:p>
            <w:pPr>
              <w:jc w:val="left"/>
            </w:pPr>
            <w:r>
              <w:rPr>
                <w:rStyle w:val="MSJHBD-SB12pt"/>
              </w:rPr>
              <w:t xml:space="preserve">開課單位：</w:t>
            </w:r>
          </w:p>
        </w:tc>
        <w:tc>
          <w:tcPr>
            <w:tcW w:w="3000" w:type="dxa"/>
          </w:tcPr>
          <w:p>
            <w:pPr>
              <w:jc w:val="left"/>
            </w:pPr>
            <w:r>
              <w:rPr>
                <w:rStyle w:val="BlueMSJHBD-SB12pt"/>
              </w:rPr>
              <w:t xml:space="preserve">半導體碩  </w:t>
            </w:r>
          </w:p>
        </w:tc>
      </w:tr>
      <w:tr>
        <w:trPr/>
        <w:tc>
          <w:tcPr>
            <w:tcW w:w="7000" w:type="dxa"/>
            <w:gridSpan w:val="4"/>
            <w:vMerge w:val="continue"/>
          </w:tcPr>
          <w:p/>
        </w:tc>
        <w:tc>
          <w:tcPr>
            <w:tcW w:w="3000" w:type="dxa"/>
          </w:tcPr>
          <w:p>
            <w:pPr>
              <w:jc w:val="left"/>
            </w:pPr>
            <w:r>
              <w:rPr>
                <w:rStyle w:val="MSJHBD-SB12pt"/>
              </w:rPr>
              <w:t xml:space="preserve">永久課號：</w:t>
            </w:r>
          </w:p>
        </w:tc>
        <w:tc>
          <w:tcPr>
            <w:tcW w:w="3000" w:type="dxa"/>
          </w:tcPr>
          <w:p>
            <w:pPr>
              <w:jc w:val="left"/>
            </w:pPr>
            <w:r>
              <w:rPr>
                <w:rStyle w:val="BlueMSJHBD-SB12pt"/>
              </w:rPr>
              <w:t xml:space="preserve">STST30035</w:t>
            </w:r>
          </w:p>
        </w:tc>
      </w:tr>
      <w:tr>
        <w:trPr/>
        <w:tc>
          <w:tcPr>
            <w:tcW w:w="7000" w:type="dxa"/>
            <w:gridSpan w:val="4"/>
            <w:vMerge w:val="continue"/>
          </w:tcPr>
          <w:p/>
        </w:tc>
        <w:tc>
          <w:tcPr>
            <w:tcW w:w="3000" w:type="dxa"/>
          </w:tcPr>
          <w:p>
            <w:pPr>
              <w:jc w:val="left"/>
            </w:pPr>
            <w:r>
              <w:rPr>
                <w:rStyle w:val="MSJHBD-SB12pt"/>
              </w:rPr>
              <w:t xml:space="preserve">上課時間/教室：</w:t>
            </w:r>
          </w:p>
        </w:tc>
        <w:tc>
          <w:tcPr>
            <w:tcW w:w="3000" w:type="dxa"/>
          </w:tcPr>
          <w:p>
            <w:pPr>
              <w:jc w:val="left"/>
            </w:pPr>
            <w:r>
              <w:rPr>
                <w:rStyle w:val="BlueMSJHBD-SB12pt"/>
              </w:rPr>
              <w:t xml:space="preserve">T234-A306[GF]</w:t>
            </w:r>
          </w:p>
        </w:tc>
      </w:tr>
      <w:tr>
        <w:trPr/>
        <w:tc>
          <w:tcPr>
            <w:tcW w:w="13000" w:type="dxa"/>
            <w:gridSpan w:val="6"/>
          </w:tcPr>
          <w:p>
            <w:pPr>
              <w:jc w:val="left"/>
            </w:pPr>
            <w:r>
              <w:rPr>
                <w:rStyle w:val="MSJHBD-SB12pt"/>
              </w:rPr>
              <w:t xml:space="preserve">授課教師：</w:t>
            </w:r>
          </w:p>
          <w:p>
            <w:pPr>
              <w:jc w:val="left"/>
            </w:pPr>
            <w:r>
              <w:rPr>
                <w:rStyle w:val="BlueMSJHBD-SB12pt"/>
              </w:rPr>
              <w:t xml:space="preserve">蘇育陞</w:t>
            </w:r>
          </w:p>
        </w:tc>
      </w:tr>
      <w:tr>
        <w:trPr/>
        <w:tc>
          <w:tcPr>
            <w:tcW w:w="3000" w:type="dxa"/>
          </w:tcPr>
          <w:p>
            <w:pPr>
              <w:jc w:val="left"/>
            </w:pPr>
            <w:r>
              <w:rPr>
                <w:rStyle w:val="MSJHBD-SB12pt"/>
              </w:rPr>
              <w:t xml:space="preserve">學分數：</w:t>
            </w:r>
          </w:p>
        </w:tc>
        <w:tc>
          <w:tcPr>
            <w:tcW w:w="2000" w:type="dxa"/>
          </w:tcPr>
          <w:p>
            <w:pPr>
              <w:jc w:val="left"/>
            </w:pPr>
            <w:r>
              <w:rPr>
                <w:rStyle w:val="BlueMSJHBD-SB12pt"/>
              </w:rPr>
              <w:t xml:space="preserve">3.00</w:t>
            </w:r>
          </w:p>
        </w:tc>
        <w:tc>
          <w:tcPr>
            <w:tcW w:w="3000" w:type="dxa"/>
          </w:tcPr>
          <w:p>
            <w:pPr>
              <w:jc w:val="left"/>
            </w:pPr>
            <w:r>
              <w:rPr>
                <w:rStyle w:val="MSJHBD-SB12pt"/>
              </w:rPr>
              <w:t xml:space="preserve">必／選修：</w:t>
            </w:r>
          </w:p>
        </w:tc>
        <w:tc>
          <w:tcPr>
            <w:tcW w:w="2000" w:type="dxa"/>
          </w:tcPr>
          <w:p>
            <w:pPr>
              <w:jc w:val="left"/>
            </w:pPr>
            <w:r>
              <w:rPr>
                <w:rStyle w:val="BlueMSJHBD-SB12pt"/>
              </w:rPr>
              <w:t xml:space="preserve">選修</w:t>
            </w:r>
          </w:p>
        </w:tc>
        <w:tc>
          <w:tcPr>
            <w:tcW w:w="3000" w:type="dxa"/>
          </w:tcPr>
          <w:p>
            <w:pPr>
              <w:jc w:val="left"/>
            </w:pPr>
            <w:r>
              <w:rPr>
                <w:rStyle w:val="MSJHBD-SB12pt"/>
              </w:rPr>
              <w:t xml:space="preserve">開課年級：</w:t>
            </w:r>
          </w:p>
        </w:tc>
        <w:tc>
          <w:tcPr>
            <w:tcW w:w="2000" w:type="dxa"/>
          </w:tcPr>
          <w:p>
            <w:pPr>
              <w:jc w:val="left"/>
            </w:pPr>
            <w:r>
              <w:rPr>
                <w:rStyle w:val="BlueMSJHBD-SB12pt"/>
              </w:rPr>
              <w:t xml:space="preserve">*</w:t>
            </w:r>
          </w:p>
        </w:tc>
      </w:tr>
      <w:tr>
        <w:trPr/>
        <w:tc>
          <w:tcPr>
            <w:tcW w:w="13000" w:type="dxa"/>
            <w:gridSpan w:val="6"/>
          </w:tcPr>
          <w:p>
            <w:pPr>
              <w:jc w:val="left"/>
            </w:pPr>
            <w:r>
              <w:rPr>
                <w:rStyle w:val="MSJHBD-SB12pt"/>
              </w:rPr>
              <w:t xml:space="preserve">先修科目或先備能力：</w:t>
            </w:r>
          </w:p>
          <w:p>
            <w:pPr>
              <w:jc w:val="left"/>
            </w:pPr>
            <w:r>
              <w:rPr>
                <w:rStyle w:val="BlueMSJHBD-SB12pt"/>
              </w:rPr>
              <w:t xml:space="preserve">Students with a degree in science or engineering (physics, chemistry, materials, electronics, semiconductors) may take this course.</w:t>
            </w:r>
          </w:p>
        </w:tc>
      </w:tr>
      <w:tr>
        <w:trPr/>
        <w:tc>
          <w:tcPr>
            <w:tcW w:w="13000" w:type="dxa"/>
            <w:gridSpan w:val="6"/>
          </w:tcPr>
          <w:p>
            <w:pPr>
              <w:jc w:val="left"/>
            </w:pPr>
            <w:r>
              <w:rPr>
                <w:rStyle w:val="MSJHBD-SB12pt"/>
              </w:rPr>
              <w:t xml:space="preserve">課程概述與目標：</w:t>
            </w:r>
          </w:p>
          <w:p>
            <w:pPr>
              <w:jc w:val="left"/>
            </w:pPr>
            <w:r>
              <w:rPr>
                <w:rStyle w:val="BlueMSJHBD-SB12pt"/>
              </w:rPr>
              <w:t xml:space="preserve">Semiconductor materials can be widely used not only in electronic devices/integrated circuits, but also in energy storage devices (Li-ion batteries) and solar cells. The focus of the lectures will be on the analytical methods on materials, but not on devices, which can be applied to other physical and chemical scientific research topics. This course is designed for young semiconductor talent interested in characterization techniques applied to semiconductor materials.  </w:t>
            </w:r>
          </w:p>
        </w:tc>
      </w:tr>
      <w:tr>
        <w:trPr/>
        <w:tc>
          <w:tcPr>
            <w:tcW w:w="5000" w:type="dxa"/>
            <w:gridSpan w:val="2"/>
          </w:tcPr>
          <w:p>
            <w:pPr>
              <w:jc w:val="left"/>
            </w:pPr>
            <w:r>
              <w:rPr>
                <w:rStyle w:val="MSJHBD-SB12pt"/>
              </w:rPr>
              <w:t xml:space="preserve">教科書（請註明書名、作者、出版社、出版年等資訊）：</w:t>
            </w:r>
          </w:p>
        </w:tc>
        <w:tc>
          <w:tcPr>
            <w:tcW w:w="5000" w:type="dxa"/>
            <w:gridSpan w:val="4"/>
          </w:tcPr>
          <w:p>
            <w:pPr>
              <w:jc w:val="left"/>
            </w:pPr>
            <w:r>
              <w:rPr>
                <w:rStyle w:val="BlueMSJHBD-SB12pt"/>
              </w:rPr>
              <w:t xml:space="preserve">Presentation slides are provided by the instructor.</w:t>
            </w:r>
          </w:p>
        </w:tc>
      </w:tr>
    </w:tbl>
    <w:tbl>
      <w:tblGrid>
        <w:gridCol w:w="3000" w:type="dxa"/>
        <w:gridCol w:w="3000" w:type="dxa"/>
        <w:gridCol w:w="1000" w:type="dxa"/>
        <w:gridCol w:w="1000" w:type="dxa"/>
        <w:gridCol w:w="1000" w:type="dxa"/>
        <w:gridCol w:w="1000" w:type="dxa"/>
        <w:gridCol w:w="3000" w:type="dxa"/>
      </w:tblGrid>
      <w:tblPr>
        <w:tblStyle w:val="outlineTable"/>
      </w:tblPr>
      <w:tr>
        <w:trPr/>
        <w:tc>
          <w:tcPr>
            <w:tcW w:w="8000" w:type="dxa"/>
            <w:gridSpan w:val="2"/>
          </w:tcPr>
          <w:p>
            <w:pPr>
              <w:jc w:val="center"/>
            </w:pPr>
            <w:r>
              <w:rPr>
                <w:rStyle w:val="MSJHBD-SB12pt"/>
              </w:rPr>
              <w:t xml:space="preserve">課程大網</w:t>
            </w:r>
          </w:p>
        </w:tc>
        <w:tc>
          <w:tcPr>
            <w:tcW w:w="2000" w:type="dxa"/>
            <w:gridSpan w:val="4"/>
          </w:tcPr>
          <w:p>
            <w:pPr>
              <w:jc w:val="center"/>
            </w:pPr>
            <w:r>
              <w:rPr>
                <w:rStyle w:val="MSJHBD-SB12pt"/>
              </w:rPr>
              <w:t xml:space="preserve">分配時數</w:t>
            </w:r>
          </w:p>
        </w:tc>
        <w:tc>
          <w:tcPr>
            <w:tcW w:w="3000" w:type="dxa"/>
            <w:vMerge w:val="restart"/>
          </w:tcPr>
          <w:p>
            <w:pPr>
              <w:jc w:val="center"/>
            </w:pPr>
            <w:r>
              <w:rPr>
                <w:rStyle w:val="MSJHBD-SB12pt"/>
              </w:rPr>
              <w:t xml:space="preserve">備註</w:t>
            </w:r>
          </w:p>
        </w:tc>
      </w:tr>
      <w:tr>
        <w:trPr/>
        <w:tc>
          <w:tcPr>
            <w:tcW w:w="3000" w:type="dxa"/>
          </w:tcPr>
          <w:p>
            <w:pPr>
              <w:jc w:val="center"/>
            </w:pPr>
            <w:r>
              <w:rPr>
                <w:rStyle w:val="MSJHBD-SB12pt"/>
              </w:rPr>
              <w:t xml:space="preserve">單元主題</w:t>
            </w:r>
          </w:p>
        </w:tc>
        <w:tc>
          <w:tcPr>
            <w:tcW w:w="3000" w:type="dxa"/>
          </w:tcPr>
          <w:p>
            <w:pPr>
              <w:jc w:val="center"/>
            </w:pPr>
            <w:r>
              <w:rPr>
                <w:rStyle w:val="MSJHBD-SB12pt"/>
              </w:rPr>
              <w:t xml:space="preserve">內容綱要</w:t>
            </w:r>
          </w:p>
        </w:tc>
        <w:tc>
          <w:tcPr>
            <w:tcW w:w="1000" w:type="dxa"/>
          </w:tcPr>
          <w:p>
            <w:pPr>
              <w:jc w:val="center"/>
            </w:pPr>
            <w:r>
              <w:rPr>
                <w:rStyle w:val="MSJHBD-SB12pt"/>
              </w:rPr>
              <w:t xml:space="preserve">講授</w:t>
            </w:r>
          </w:p>
        </w:tc>
        <w:tc>
          <w:tcPr>
            <w:tcW w:w="1000" w:type="dxa"/>
          </w:tcPr>
          <w:p>
            <w:pPr>
              <w:jc w:val="center"/>
            </w:pPr>
            <w:r>
              <w:rPr>
                <w:rStyle w:val="MSJHBD-SB12pt"/>
              </w:rPr>
              <w:t xml:space="preserve">示範</w:t>
            </w:r>
          </w:p>
        </w:tc>
        <w:tc>
          <w:tcPr>
            <w:tcW w:w="1000" w:type="dxa"/>
          </w:tcPr>
          <w:p>
            <w:pPr>
              <w:jc w:val="center"/>
            </w:pPr>
            <w:r>
              <w:rPr>
                <w:rStyle w:val="MSJHBD-SB12pt"/>
              </w:rPr>
              <w:t xml:space="preserve">習作</w:t>
            </w:r>
          </w:p>
        </w:tc>
        <w:tc>
          <w:tcPr>
            <w:tcW w:w="1000" w:type="dxa"/>
          </w:tcPr>
          <w:p>
            <w:pPr>
              <w:jc w:val="center"/>
            </w:pPr>
            <w:r>
              <w:rPr>
                <w:rStyle w:val="MSJHBD-SB12pt"/>
              </w:rPr>
              <w:t xml:space="preserve">其他</w:t>
            </w:r>
          </w:p>
        </w:tc>
        <w:tc>
          <w:tcPr>
            <w:tcW w:w="3000" w:type="dxa"/>
            <w:vMerge w:val="continue"/>
          </w:tcPr>
          <w:p>
            <w:pPr>
              <w:jc w:val="center"/>
            </w:pPr>
            <w:r>
              <w:rPr>
                <w:rStyle w:val="MSJHBD-SB12pt"/>
              </w:rPr>
              <w:t xml:space="preserve"/>
            </w:r>
          </w:p>
        </w:tc>
      </w:tr>
    </w:tbl>
    <w:tbl>
      <w:tblGrid>
        <w:gridCol w:w="2000" w:type="dxa"/>
        <w:gridCol w:w="5000" w:type="dxa"/>
        <w:gridCol w:w="2000" w:type="dxa"/>
        <w:gridCol w:w="4000" w:type="dxa"/>
      </w:tblGrid>
      <w:tblPr>
        <w:tblStyle w:val="descriptionDataTable"/>
      </w:tblPr>
      <w:tr>
        <w:trPr/>
        <w:tc>
          <w:tcPr>
            <w:tcW w:w="13000" w:type="dxa"/>
            <w:gridSpan w:val="4"/>
          </w:tcPr>
          <w:p>
            <w:pPr>
              <w:jc w:val="left"/>
            </w:pPr>
            <w:r>
              <w:rPr>
                <w:rStyle w:val="MSJHBD-SB12pt"/>
              </w:rPr>
              <w:t xml:space="preserve">教學要點概述：</w:t>
            </w:r>
          </w:p>
        </w:tc>
      </w:tr>
      <w:tr>
        <w:trPr/>
        <w:tc>
          <w:tcPr>
            <w:tcW w:w="13000" w:type="dxa"/>
            <w:gridSpan w:val="4"/>
          </w:tcPr>
          <w:p>
            <w:pPr>
              <w:jc w:val="left"/>
            </w:pPr>
            <w:r>
              <w:rPr>
                <w:rStyle w:val="MSJHBD-SB12pt"/>
              </w:rPr>
              <w:t xml:space="preserve">1.學期作業、考試、評量：</w:t>
            </w:r>
          </w:p>
          <w:p>
            <w:pPr>
              <w:jc w:val="left"/>
            </w:pPr>
            <w:r>
              <w:rPr>
                <w:rStyle w:val="BlueMSJHBD-SB12pt"/>
              </w:rPr>
              <w:t xml:space="preserve">Attendance (bonus 10%);</w:t>
              <w:br/>
              <w:t>
Homework Assignments (20%); </w:t>
              <w:br/>
              <w:t>
Quiz (20%); </w:t>
              <w:br/>
              <w:t>
Mid-term Exam (25%);</w:t>
              <w:br/>
              <w:t>
Final Exam (25%)	</w:t>
            </w:r>
          </w:p>
          <w:p>
            <w:pPr>
              <w:jc w:val="left"/>
            </w:pPr>
            <w:r>
              <w:rPr>
                <w:rStyle w:val="MSJHBD-SB12pt"/>
              </w:rPr>
              <w:t xml:space="preserve">2.教學方法及教學相關配合事項（如助教、網站或圖書及資料庫等）</w:t>
            </w:r>
          </w:p>
          <w:p>
            <w:pPr>
              <w:jc w:val="left"/>
            </w:pPr>
            <w:r>
              <w:rPr>
                <w:rStyle w:val="BlueMSJHBD-SB12pt"/>
              </w:rPr>
              <w:t xml:space="preserve"/>
            </w:r>
          </w:p>
        </w:tc>
      </w:tr>
      <w:tr>
        <w:trPr/>
        <w:tc>
          <w:tcPr>
            <w:tcW w:w="2000" w:type="dxa"/>
            <w:vMerge w:val="restart"/>
          </w:tcPr>
          <w:p>
            <w:pPr>
              <w:jc w:val="left"/>
            </w:pPr>
            <w:r>
              <w:rPr>
                <w:rStyle w:val="MSJHBD-SB12pt"/>
              </w:rPr>
              <w:t xml:space="preserve">師生晤談</w:t>
            </w:r>
          </w:p>
        </w:tc>
        <w:tc>
          <w:tcPr>
            <w:tcW w:w="5000" w:type="dxa"/>
          </w:tcPr>
          <w:p>
            <w:pPr>
              <w:jc w:val="left"/>
            </w:pPr>
            <w:r>
              <w:rPr>
                <w:rStyle w:val="MSJHBD-SB12pt"/>
              </w:rPr>
              <w:t xml:space="preserve">排定時間</w:t>
            </w:r>
          </w:p>
        </w:tc>
        <w:tc>
          <w:tcPr>
            <w:tcW w:w="2000" w:type="dxa"/>
          </w:tcPr>
          <w:p>
            <w:pPr>
              <w:jc w:val="left"/>
            </w:pPr>
            <w:r>
              <w:rPr>
                <w:rStyle w:val="MSJHBD-SB12pt"/>
              </w:rPr>
              <w:t xml:space="preserve">地點</w:t>
            </w:r>
          </w:p>
        </w:tc>
        <w:tc>
          <w:tcPr>
            <w:tcW w:w="4000" w:type="dxa"/>
          </w:tcPr>
          <w:p>
            <w:pPr>
              <w:jc w:val="left"/>
            </w:pPr>
            <w:r>
              <w:rPr>
                <w:rStyle w:val="MSJHBD-SB12pt"/>
              </w:rPr>
              <w:t xml:space="preserve">聯絡方式</w:t>
            </w:r>
          </w:p>
        </w:tc>
      </w:tr>
      <w:tr>
        <w:trPr/>
        <w:tc>
          <w:tcPr>
            <w:tcW w:w="2000" w:type="dxa"/>
            <w:vMerge w:val="continue"/>
          </w:tcPr>
          <w:p>
            <w:pPr>
              <w:jc w:val="left"/>
            </w:pPr>
            <w:r>
              <w:rPr>
                <w:rStyle w:val="MSJHBD-SB12pt"/>
              </w:rPr>
              <w:t xml:space="preserve"/>
            </w:r>
          </w:p>
        </w:tc>
        <w:tc>
          <w:tcPr>
            <w:tcW w:w="5000" w:type="dxa"/>
          </w:tcPr>
          <w:p>
            <w:pPr>
              <w:jc w:val="left"/>
            </w:pPr>
            <w:r>
              <w:rPr>
                <w:rStyle w:val="BlueMSJHBD-SB12pt"/>
              </w:rPr>
              <w:t xml:space="preserve">By appointment</w:t>
            </w:r>
          </w:p>
        </w:tc>
        <w:tc>
          <w:tcPr>
            <w:tcW w:w="2000" w:type="dxa"/>
          </w:tcPr>
          <w:p>
            <w:pPr>
              <w:jc w:val="left"/>
            </w:pPr>
            <w:r>
              <w:rPr>
                <w:rStyle w:val="BlueMSJHBD-SB12pt"/>
              </w:rPr>
              <w:t xml:space="preserve">EF475</w:t>
            </w:r>
          </w:p>
        </w:tc>
        <w:tc>
          <w:tcPr>
            <w:tcW w:w="4000" w:type="dxa"/>
          </w:tcPr>
          <w:p>
            <w:pPr>
              <w:jc w:val="left"/>
            </w:pPr>
            <w:r>
              <w:rPr>
                <w:rStyle w:val="BlueMSJHBD-SB12pt"/>
              </w:rPr>
              <w:t xml:space="preserve">yushengsu@nycu.edu.tw</w:t>
            </w:r>
          </w:p>
        </w:tc>
      </w:tr>
    </w:tbl>
    <w:tbl>
      <w:tblGrid>
        <w:gridCol w:w="500" w:type="dxa"/>
        <w:gridCol w:w="2500" w:type="dxa"/>
        <w:gridCol w:w="7000" w:type="dxa"/>
        <w:gridCol w:w="500" w:type="dxa"/>
      </w:tblGrid>
      <w:tblPr>
        <w:tblStyle w:val="syllabusDataTable"/>
      </w:tblPr>
      <w:tr>
        <w:trPr/>
        <w:tc>
          <w:tcPr>
            <w:tcW w:w="13000" w:type="dxa"/>
            <w:gridSpan w:val="4"/>
          </w:tcPr>
          <w:p>
            <w:pPr>
              <w:jc w:val="left"/>
            </w:pPr>
            <w:r>
              <w:rPr>
                <w:rStyle w:val="MSJHBD-SB12pt"/>
              </w:rPr>
              <w:t xml:space="preserve">每週進度表</w:t>
            </w:r>
          </w:p>
        </w:tc>
      </w:tr>
      <w:tr>
        <w:trPr/>
        <w:tc>
          <w:tcPr>
            <w:tcW w:w="500" w:type="dxa"/>
          </w:tcPr>
          <w:p>
            <w:pPr>
              <w:jc w:val="center"/>
            </w:pPr>
            <w:r>
              <w:rPr>
                <w:rStyle w:val="MSJHBD-SB12pt"/>
              </w:rPr>
              <w:t xml:space="preserve">週次</w:t>
            </w:r>
          </w:p>
        </w:tc>
        <w:tc>
          <w:tcPr>
            <w:tcW w:w="2500" w:type="dxa"/>
          </w:tcPr>
          <w:p>
            <w:pPr>
              <w:jc w:val="center"/>
            </w:pPr>
            <w:r>
              <w:rPr>
                <w:rStyle w:val="MSJHBD-SB12pt"/>
              </w:rPr>
              <w:t xml:space="preserve">上課日期</w:t>
            </w:r>
          </w:p>
        </w:tc>
        <w:tc>
          <w:tcPr>
            <w:tcW w:w="7000" w:type="dxa"/>
          </w:tcPr>
          <w:p>
            <w:pPr>
              <w:jc w:val="center"/>
            </w:pPr>
            <w:r>
              <w:rPr>
                <w:rStyle w:val="MSJHBD-SB12pt"/>
              </w:rPr>
              <w:t xml:space="preserve">課程進度、內容、主題</w:t>
            </w:r>
          </w:p>
        </w:tc>
        <w:tc>
          <w:tcPr>
            <w:tcW w:w="500" w:type="dxa"/>
          </w:tcPr>
          <w:p>
            <w:pPr>
              <w:jc w:val="center"/>
            </w:pPr>
            <w:r>
              <w:rPr>
                <w:rStyle w:val="MSJHBD-SB12pt"/>
              </w:rPr>
              <w:t xml:space="preserve">教師授課時數</w:t>
            </w:r>
          </w:p>
        </w:tc>
      </w:tr>
      <w:tr>
        <w:trPr/>
        <w:tc>
          <w:tcPr>
            <w:tcW w:w="500" w:type="dxa"/>
          </w:tcPr>
          <w:p>
            <w:pPr>
              <w:jc w:val="center"/>
            </w:pPr>
            <w:r>
              <w:rPr>
                <w:rStyle w:val="BlueMSJHBD-SB12pt"/>
              </w:rPr>
              <w:t xml:space="preserve">1</w:t>
            </w:r>
          </w:p>
        </w:tc>
        <w:tc>
          <w:tcPr>
            <w:tcW w:w="2500" w:type="dxa"/>
          </w:tcPr>
          <w:p>
            <w:pPr>
              <w:jc w:val="left"/>
            </w:pPr>
            <w:r>
              <w:rPr>
                <w:rStyle w:val="BlueMSJHBD-SB12pt"/>
              </w:rPr>
              <w:t xml:space="preserve">2025-09-02(二)</w:t>
            </w:r>
          </w:p>
        </w:tc>
        <w:tc>
          <w:tcPr>
            <w:tcW w:w="7000" w:type="dxa"/>
          </w:tcPr>
          <w:p>
            <w:pPr>
              <w:jc w:val="left"/>
            </w:pPr>
            <w:r>
              <w:rPr>
                <w:rStyle w:val="BlueMSJHBD-SB12pt"/>
              </w:rPr>
              <w:t xml:space="preserve">Introduction to Semiconductor Materials – Warmup</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2</w:t>
            </w:r>
          </w:p>
        </w:tc>
        <w:tc>
          <w:tcPr>
            <w:tcW w:w="2500" w:type="dxa"/>
          </w:tcPr>
          <w:p>
            <w:pPr>
              <w:jc w:val="left"/>
            </w:pPr>
            <w:r>
              <w:rPr>
                <w:rStyle w:val="BlueMSJHBD-SB12pt"/>
              </w:rPr>
              <w:t xml:space="preserve">2025-09-09(二)</w:t>
            </w:r>
          </w:p>
        </w:tc>
        <w:tc>
          <w:tcPr>
            <w:tcW w:w="7000" w:type="dxa"/>
          </w:tcPr>
          <w:p>
            <w:pPr>
              <w:jc w:val="left"/>
            </w:pPr>
            <w:r>
              <w:rPr>
                <w:rStyle w:val="BlueMSJHBD-SB12pt"/>
              </w:rPr>
              <w:t xml:space="preserve">X-ray Diffraction (XRD) Analysis (I) (Online)</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3</w:t>
            </w:r>
          </w:p>
        </w:tc>
        <w:tc>
          <w:tcPr>
            <w:tcW w:w="2500" w:type="dxa"/>
          </w:tcPr>
          <w:p>
            <w:pPr>
              <w:jc w:val="left"/>
            </w:pPr>
            <w:r>
              <w:rPr>
                <w:rStyle w:val="BlueMSJHBD-SB12pt"/>
              </w:rPr>
              <w:t xml:space="preserve">2025-09-16(二)</w:t>
            </w:r>
          </w:p>
        </w:tc>
        <w:tc>
          <w:tcPr>
            <w:tcW w:w="7000" w:type="dxa"/>
          </w:tcPr>
          <w:p>
            <w:pPr>
              <w:jc w:val="left"/>
            </w:pPr>
            <w:r>
              <w:rPr>
                <w:rStyle w:val="BlueMSJHBD-SB12pt"/>
              </w:rPr>
              <w:t xml:space="preserve"> No class (Conference Travel)</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4</w:t>
            </w:r>
          </w:p>
        </w:tc>
        <w:tc>
          <w:tcPr>
            <w:tcW w:w="2500" w:type="dxa"/>
          </w:tcPr>
          <w:p>
            <w:pPr>
              <w:jc w:val="left"/>
            </w:pPr>
            <w:r>
              <w:rPr>
                <w:rStyle w:val="BlueMSJHBD-SB12pt"/>
              </w:rPr>
              <w:t xml:space="preserve">2025-09-23(二)</w:t>
            </w:r>
          </w:p>
        </w:tc>
        <w:tc>
          <w:tcPr>
            <w:tcW w:w="7000" w:type="dxa"/>
          </w:tcPr>
          <w:p>
            <w:pPr>
              <w:jc w:val="left"/>
            </w:pPr>
            <w:r>
              <w:rPr>
                <w:rStyle w:val="BlueMSJHBD-SB12pt"/>
              </w:rPr>
              <w:t xml:space="preserve">X-ray Diffraction (XRD) Analysis (II)、X-ray Reflectometry (XRR)</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5</w:t>
            </w:r>
          </w:p>
        </w:tc>
        <w:tc>
          <w:tcPr>
            <w:tcW w:w="2500" w:type="dxa"/>
          </w:tcPr>
          <w:p>
            <w:pPr>
              <w:jc w:val="left"/>
            </w:pPr>
            <w:r>
              <w:rPr>
                <w:rStyle w:val="BlueMSJHBD-SB12pt"/>
              </w:rPr>
              <w:t xml:space="preserve">2025-09-30(二)</w:t>
            </w:r>
          </w:p>
        </w:tc>
        <w:tc>
          <w:tcPr>
            <w:tcW w:w="7000" w:type="dxa"/>
          </w:tcPr>
          <w:p>
            <w:pPr>
              <w:jc w:val="left"/>
            </w:pPr>
            <w:r>
              <w:rPr>
                <w:rStyle w:val="BlueMSJHBD-SB12pt"/>
              </w:rPr>
              <w:t xml:space="preserve">Electron Microscopy (EM) and Elemental Analysis (I)</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6</w:t>
            </w:r>
          </w:p>
        </w:tc>
        <w:tc>
          <w:tcPr>
            <w:tcW w:w="2500" w:type="dxa"/>
          </w:tcPr>
          <w:p>
            <w:pPr>
              <w:jc w:val="left"/>
            </w:pPr>
            <w:r>
              <w:rPr>
                <w:rStyle w:val="BlueMSJHBD-SB12pt"/>
              </w:rPr>
              <w:t xml:space="preserve">2025-10-07(二)</w:t>
            </w:r>
          </w:p>
        </w:tc>
        <w:tc>
          <w:tcPr>
            <w:tcW w:w="7000" w:type="dxa"/>
          </w:tcPr>
          <w:p>
            <w:pPr>
              <w:jc w:val="left"/>
            </w:pPr>
            <w:r>
              <w:rPr>
                <w:rStyle w:val="BlueMSJHBD-SB12pt"/>
              </w:rPr>
              <w:t xml:space="preserve">Electron Microscopy (EM) and Elemental Analysis (II); Quiz 1</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7</w:t>
            </w:r>
          </w:p>
        </w:tc>
        <w:tc>
          <w:tcPr>
            <w:tcW w:w="2500" w:type="dxa"/>
          </w:tcPr>
          <w:p>
            <w:pPr>
              <w:jc w:val="left"/>
            </w:pPr>
            <w:r>
              <w:rPr>
                <w:rStyle w:val="BlueMSJHBD-SB12pt"/>
              </w:rPr>
              <w:t xml:space="preserve">2025-10-14(二)</w:t>
            </w:r>
          </w:p>
        </w:tc>
        <w:tc>
          <w:tcPr>
            <w:tcW w:w="7000" w:type="dxa"/>
          </w:tcPr>
          <w:p>
            <w:pPr>
              <w:jc w:val="left"/>
            </w:pPr>
            <w:r>
              <w:rPr>
                <w:rStyle w:val="BlueMSJHBD-SB12pt"/>
              </w:rPr>
              <w:t xml:space="preserve">Advanced Cryo- and In-Situ Electron Microscopy (EM)、Atomic Force Microscopy (AFM)</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8</w:t>
            </w:r>
          </w:p>
        </w:tc>
        <w:tc>
          <w:tcPr>
            <w:tcW w:w="2500" w:type="dxa"/>
          </w:tcPr>
          <w:p>
            <w:pPr>
              <w:jc w:val="left"/>
            </w:pPr>
            <w:r>
              <w:rPr>
                <w:rStyle w:val="BlueMSJHBD-SB12pt"/>
              </w:rPr>
              <w:t xml:space="preserve">2025-10-21(二)</w:t>
            </w:r>
          </w:p>
        </w:tc>
        <w:tc>
          <w:tcPr>
            <w:tcW w:w="7000" w:type="dxa"/>
          </w:tcPr>
          <w:p>
            <w:pPr>
              <w:jc w:val="left"/>
            </w:pPr>
            <w:r>
              <w:rPr>
                <w:rStyle w:val="BlueMSJHBD-SB12pt"/>
              </w:rPr>
              <w:t xml:space="preserve">Mid-term Exam</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9</w:t>
            </w:r>
          </w:p>
        </w:tc>
        <w:tc>
          <w:tcPr>
            <w:tcW w:w="2500" w:type="dxa"/>
          </w:tcPr>
          <w:p>
            <w:pPr>
              <w:jc w:val="left"/>
            </w:pPr>
            <w:r>
              <w:rPr>
                <w:rStyle w:val="BlueMSJHBD-SB12pt"/>
              </w:rPr>
              <w:t xml:space="preserve">2025-10-28(二)</w:t>
            </w:r>
          </w:p>
        </w:tc>
        <w:tc>
          <w:tcPr>
            <w:tcW w:w="7000" w:type="dxa"/>
          </w:tcPr>
          <w:p>
            <w:pPr>
              <w:jc w:val="left"/>
            </w:pPr>
            <w:r>
              <w:rPr>
                <w:rStyle w:val="BlueMSJHBD-SB12pt"/>
              </w:rPr>
              <w:t xml:space="preserve">Applications of EM and AFM in Semiconductor Technologies</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10</w:t>
            </w:r>
          </w:p>
        </w:tc>
        <w:tc>
          <w:tcPr>
            <w:tcW w:w="2500" w:type="dxa"/>
          </w:tcPr>
          <w:p>
            <w:pPr>
              <w:jc w:val="left"/>
            </w:pPr>
            <w:r>
              <w:rPr>
                <w:rStyle w:val="BlueMSJHBD-SB12pt"/>
              </w:rPr>
              <w:t xml:space="preserve">2025-11-04(二)</w:t>
            </w:r>
          </w:p>
        </w:tc>
        <w:tc>
          <w:tcPr>
            <w:tcW w:w="7000" w:type="dxa"/>
          </w:tcPr>
          <w:p>
            <w:pPr>
              <w:jc w:val="left"/>
            </w:pPr>
            <w:r>
              <w:rPr>
                <w:rStyle w:val="BlueMSJHBD-SB12pt"/>
              </w:rPr>
              <w:t xml:space="preserve">X-ray Photoelectron Spectroscopy (XPS)、Time-of-Flight Secondary Ion Mass Spectrometry (ToF-SIMS)、Ultraviolet-visible Spectroscopy (UV-vis) </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11</w:t>
            </w:r>
          </w:p>
        </w:tc>
        <w:tc>
          <w:tcPr>
            <w:tcW w:w="2500" w:type="dxa"/>
          </w:tcPr>
          <w:p>
            <w:pPr>
              <w:jc w:val="left"/>
            </w:pPr>
            <w:r>
              <w:rPr>
                <w:rStyle w:val="BlueMSJHBD-SB12pt"/>
              </w:rPr>
              <w:t xml:space="preserve">2025-11-11(二)</w:t>
            </w:r>
          </w:p>
        </w:tc>
        <w:tc>
          <w:tcPr>
            <w:tcW w:w="7000" w:type="dxa"/>
          </w:tcPr>
          <w:p>
            <w:pPr>
              <w:jc w:val="left"/>
            </w:pPr>
            <w:r>
              <w:rPr>
                <w:rStyle w:val="BlueMSJHBD-SB12pt"/>
              </w:rPr>
              <w:t xml:space="preserve">Applications of XPS、XRR、ToF-SIMS in Semiconductor Technologies</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12</w:t>
            </w:r>
          </w:p>
        </w:tc>
        <w:tc>
          <w:tcPr>
            <w:tcW w:w="2500" w:type="dxa"/>
          </w:tcPr>
          <w:p>
            <w:pPr>
              <w:jc w:val="left"/>
            </w:pPr>
            <w:r>
              <w:rPr>
                <w:rStyle w:val="BlueMSJHBD-SB12pt"/>
              </w:rPr>
              <w:t xml:space="preserve">2025-11-18(二)</w:t>
            </w:r>
          </w:p>
        </w:tc>
        <w:tc>
          <w:tcPr>
            <w:tcW w:w="7000" w:type="dxa"/>
          </w:tcPr>
          <w:p>
            <w:pPr>
              <w:jc w:val="left"/>
            </w:pPr>
            <w:r>
              <w:rPr>
                <w:rStyle w:val="BlueMSJHBD-SB12pt"/>
              </w:rPr>
              <w:t xml:space="preserve">Raman Spectroscopy、Fourier-Transform Infrared Spectroscopy (FTIR)</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13</w:t>
            </w:r>
          </w:p>
        </w:tc>
        <w:tc>
          <w:tcPr>
            <w:tcW w:w="2500" w:type="dxa"/>
          </w:tcPr>
          <w:p>
            <w:pPr>
              <w:jc w:val="left"/>
            </w:pPr>
            <w:r>
              <w:rPr>
                <w:rStyle w:val="BlueMSJHBD-SB12pt"/>
              </w:rPr>
              <w:t xml:space="preserve">2025-11-25(二)</w:t>
            </w:r>
          </w:p>
        </w:tc>
        <w:tc>
          <w:tcPr>
            <w:tcW w:w="7000" w:type="dxa"/>
          </w:tcPr>
          <w:p>
            <w:pPr>
              <w:jc w:val="left"/>
            </w:pPr>
            <w:r>
              <w:rPr>
                <w:rStyle w:val="BlueMSJHBD-SB12pt"/>
              </w:rPr>
              <w:t xml:space="preserve">Mass Spectrometry、Nuclear Magnetic Resonance (NMR) Spectroscopy; Quiz 2</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14</w:t>
            </w:r>
          </w:p>
        </w:tc>
        <w:tc>
          <w:tcPr>
            <w:tcW w:w="2500" w:type="dxa"/>
          </w:tcPr>
          <w:p>
            <w:pPr>
              <w:jc w:val="left"/>
            </w:pPr>
            <w:r>
              <w:rPr>
                <w:rStyle w:val="BlueMSJHBD-SB12pt"/>
              </w:rPr>
              <w:t xml:space="preserve">2025-12-02(二)</w:t>
            </w:r>
          </w:p>
        </w:tc>
        <w:tc>
          <w:tcPr>
            <w:tcW w:w="7000" w:type="dxa"/>
          </w:tcPr>
          <w:p>
            <w:pPr>
              <w:jc w:val="left"/>
            </w:pPr>
            <w:r>
              <w:rPr>
                <w:rStyle w:val="BlueMSJHBD-SB12pt"/>
              </w:rPr>
              <w:t xml:space="preserve">Thermal Analysis、Particle Size Analysis、Surface Area and Porosity</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15</w:t>
            </w:r>
          </w:p>
        </w:tc>
        <w:tc>
          <w:tcPr>
            <w:tcW w:w="2500" w:type="dxa"/>
          </w:tcPr>
          <w:p>
            <w:pPr>
              <w:jc w:val="left"/>
            </w:pPr>
            <w:r>
              <w:rPr>
                <w:rStyle w:val="BlueMSJHBD-SB12pt"/>
              </w:rPr>
              <w:t xml:space="preserve">2025-12-09(二)</w:t>
            </w:r>
          </w:p>
        </w:tc>
        <w:tc>
          <w:tcPr>
            <w:tcW w:w="7000" w:type="dxa"/>
          </w:tcPr>
          <w:p>
            <w:pPr>
              <w:jc w:val="left"/>
            </w:pPr>
            <w:r>
              <w:rPr>
                <w:rStyle w:val="BlueMSJHBD-SB12pt"/>
              </w:rPr>
              <w:t xml:space="preserve">Electrochemical Analysis、Electrochemical Impedance Analysis (EIS)</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16</w:t>
            </w:r>
          </w:p>
        </w:tc>
        <w:tc>
          <w:tcPr>
            <w:tcW w:w="2500" w:type="dxa"/>
          </w:tcPr>
          <w:p>
            <w:pPr>
              <w:jc w:val="left"/>
            </w:pPr>
            <w:r>
              <w:rPr>
                <w:rStyle w:val="BlueMSJHBD-SB12pt"/>
              </w:rPr>
              <w:t xml:space="preserve">2025-12-16(二)</w:t>
            </w:r>
          </w:p>
        </w:tc>
        <w:tc>
          <w:tcPr>
            <w:tcW w:w="7000" w:type="dxa"/>
          </w:tcPr>
          <w:p>
            <w:pPr>
              <w:jc w:val="left"/>
            </w:pPr>
            <w:r>
              <w:rPr>
                <w:rStyle w:val="BlueMSJHBD-SB12pt"/>
              </w:rPr>
              <w:t xml:space="preserve">Final Exam</w:t>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17</w:t>
            </w:r>
          </w:p>
        </w:tc>
        <w:tc>
          <w:tcPr>
            <w:tcW w:w="2500" w:type="dxa"/>
          </w:tcPr>
          <w:p>
            <w:pPr>
              <w:jc w:val="left"/>
            </w:pPr>
            <w:r>
              <w:rPr>
                <w:rStyle w:val="BlueMSJHBD-SB12pt"/>
              </w:rPr>
              <w:t xml:space="preserve">2025-12-23(二)</w:t>
            </w:r>
          </w:p>
        </w:tc>
        <w:tc>
          <w:tcPr>
            <w:tcW w:w="7000" w:type="dxa"/>
          </w:tcPr>
          <w:p>
            <w:pPr>
              <w:jc w:val="left"/>
            </w:pPr>
            <w:r>
              <w:rPr>
                <w:rStyle w:val="BlueMSJHBD-SB12pt"/>
              </w:rPr>
              <w:t xml:space="preserve"/>
            </w:r>
          </w:p>
        </w:tc>
        <w:tc>
          <w:tcPr>
            <w:tcW w:w="500" w:type="dxa"/>
          </w:tcPr>
          <w:p>
            <w:pPr>
              <w:jc w:val="left"/>
            </w:pPr>
            <w:r>
              <w:rPr>
                <w:rStyle w:val="BlueMSJHBD-SB12pt"/>
              </w:rPr>
              <w:t xml:space="preserve"/>
            </w:r>
          </w:p>
        </w:tc>
      </w:tr>
      <w:tr>
        <w:trPr/>
        <w:tc>
          <w:tcPr>
            <w:tcW w:w="500" w:type="dxa"/>
          </w:tcPr>
          <w:p>
            <w:pPr>
              <w:jc w:val="center"/>
            </w:pPr>
            <w:r>
              <w:rPr>
                <w:rStyle w:val="BlueMSJHBD-SB12pt"/>
              </w:rPr>
              <w:t xml:space="preserve">18</w:t>
            </w:r>
          </w:p>
        </w:tc>
        <w:tc>
          <w:tcPr>
            <w:tcW w:w="2500" w:type="dxa"/>
          </w:tcPr>
          <w:p>
            <w:pPr>
              <w:jc w:val="left"/>
            </w:pPr>
            <w:r>
              <w:rPr>
                <w:rStyle w:val="BlueMSJHBD-SB12pt"/>
              </w:rPr>
              <w:t xml:space="preserve">2025-12-30(二)</w:t>
            </w:r>
          </w:p>
        </w:tc>
        <w:tc>
          <w:tcPr>
            <w:tcW w:w="7000" w:type="dxa"/>
          </w:tcPr>
          <w:p>
            <w:pPr>
              <w:jc w:val="left"/>
            </w:pPr>
            <w:r>
              <w:rPr>
                <w:rStyle w:val="BlueMSJHBD-SB12pt"/>
              </w:rPr>
              <w:t xml:space="preserve"/>
            </w:r>
          </w:p>
        </w:tc>
        <w:tc>
          <w:tcPr>
            <w:tcW w:w="500" w:type="dxa"/>
          </w:tcPr>
          <w:p>
            <w:pPr>
              <w:jc w:val="left"/>
            </w:pPr>
            <w:r>
              <w:rPr>
                <w:rStyle w:val="BlueMSJHBD-SB12pt"/>
              </w:rPr>
              <w:t xml:space="preserve"/>
            </w:r>
          </w:p>
        </w:tc>
      </w:tr>
    </w:tbl>
    <w:tbl>
      <w:tblGrid>
        <w:gridCol w:w="13000" w:type="dxa"/>
      </w:tblGrid>
      <w:tblPr>
        <w:tblStyle w:val="noteTable"/>
      </w:tblPr>
      <w:tr>
        <w:trPr/>
        <w:tc>
          <w:tcPr>
            <w:tcW w:w="13000" w:type="dxa"/>
          </w:tcPr>
          <w:p>
            <w:pPr>
              <w:jc w:val="left"/>
            </w:pPr>
            <w:r>
              <w:rPr>
                <w:rStyle w:val="MSJHBD-SB12pt"/>
              </w:rPr>
              <w:t xml:space="preserve">備註：</w:t>
            </w:r>
          </w:p>
        </w:tc>
      </w:tr>
      <w:tr>
        <w:trPr/>
        <w:tc>
          <w:tcPr>
            <w:tcW w:w="13000" w:type="dxa"/>
          </w:tcPr>
          <w:p>
            <w:pPr>
              <w:jc w:val="left"/>
            </w:pPr>
            <w:r>
              <w:rPr>
                <w:rStyle w:val="MSJHBD-SB12pt"/>
              </w:rPr>
              <w:t xml:space="preserve">1.請遵守智慧財產權觀念及勿使用不法影印教科書。</w:t>
            </w:r>
          </w:p>
        </w:tc>
      </w:tr>
      <w:tr>
        <w:trPr/>
        <w:tc>
          <w:tcPr>
            <w:tcW w:w="13000" w:type="dxa"/>
          </w:tcPr>
          <w:p>
            <w:pPr>
              <w:jc w:val="left"/>
            </w:pPr>
            <w:r>
              <w:rPr>
                <w:rStyle w:val="MSJHBD-SB12pt"/>
              </w:rPr>
              <w:t xml:space="preserve">2.其他欄包含參訪、專題演講等活動。</w:t>
            </w:r>
          </w:p>
        </w:tc>
      </w:tr>
      <w:tr>
        <w:trPr/>
        <w:tc>
          <w:tcPr>
            <w:tcW w:w="13000" w:type="dxa"/>
          </w:tcPr>
          <w:p>
            <w:pPr>
              <w:jc w:val="center"/>
            </w:pPr>
            <w:r>
              <w:rPr>
                <w:rStyle w:val="MSJHBD-SB12pt"/>
              </w:rPr>
              <w:t xml:space="preserve"> Copyright©2025 National Yang Ming Chiao Tung University ALL RIGHTS RESERVED.</w:t>
            </w:r>
          </w:p>
        </w:tc>
      </w:tr>
    </w:tbl>
    <w:sectPr>
      <w:pgSz w:orient="portrait" w:w="11905.511811023622" w:h="16837.79527559055"/>
      <w:pgMar w:top="566.9291338582676" w:right="566.9291338582676" w:bottom="566.9291338582676" w:left="566.9291338582676"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微軟正黑體" w:hAnsi="微軟正黑體" w:eastAsia="微軟正黑體" w:cs="微軟正黑體"/>
        <w:sz w:val="24"/>
        <w:szCs w:val="24"/>
        <w:lang w:val="en-US"/>
      </w:rPr>
    </w:rPrDefault>
  </w:docDefaults>
  <w:style w:type="paragraph" w:default="1" w:styleId="Normal">
    <w:name w:val="Normal"/>
    <w:pPr>
      <w:jc w:val="both"/>
      <w:ind w:left="0" w:right="0" w:firstLine="0"/>
      <w:spacing w:before="0" w:after="0" w:line="285.59999999999997" w:lineRule="auto"/>
    </w:pPr>
  </w:style>
  <w:style w:type="character" w:styleId="FootnoteReference">
    <w:name w:val="Footnote Reference"/>
    <w:semiHidden/>
    <w:unhideWhenUsed/>
    <w:rPr>
      <w:vertAlign w:val="superscript"/>
    </w:rPr>
  </w:style>
  <w:style w:type="character">
    <w:name w:val="MSJHBD-SB16pt"/>
    <w:rPr>
      <w:rFonts w:ascii="微軟正黑體" w:hAnsi="微軟正黑體" w:eastAsia="微軟正黑體" w:cs="微軟正黑體"/>
      <w:sz w:val="32"/>
      <w:szCs w:val="32"/>
    </w:rPr>
  </w:style>
  <w:style w:type="character">
    <w:name w:val="MSJHBD-SB12pt"/>
    <w:rPr>
      <w:rFonts w:ascii="微軟正黑體" w:hAnsi="微軟正黑體" w:eastAsia="微軟正黑體" w:cs="微軟正黑體"/>
      <w:sz w:val="24"/>
      <w:szCs w:val="24"/>
    </w:rPr>
  </w:style>
  <w:style w:type="character">
    <w:name w:val="RedMSJHBD-SB12pt"/>
    <w:rPr>
      <w:rFonts w:ascii="微軟正黑體" w:hAnsi="微軟正黑體" w:eastAsia="微軟正黑體" w:cs="微軟正黑體"/>
      <w:color w:val="FF0000"/>
      <w:sz w:val="24"/>
      <w:szCs w:val="24"/>
    </w:rPr>
  </w:style>
  <w:style w:type="character">
    <w:name w:val="BlueMSJHBD-SB12pt"/>
    <w:rPr>
      <w:rFonts w:ascii="微軟正黑體" w:hAnsi="微軟正黑體" w:eastAsia="微軟正黑體" w:cs="微軟正黑體"/>
      <w:color w:val="0000FF"/>
      <w:sz w:val="24"/>
      <w:szCs w:val="24"/>
    </w:rPr>
  </w:style>
  <w:style w:type="character">
    <w:name w:val="DFKai-SB18pt"/>
    <w:rPr>
      <w:rFonts w:ascii="標楷體" w:hAnsi="標楷體" w:eastAsia="標楷體" w:cs="標楷體"/>
      <w:sz w:val="36"/>
      <w:szCs w:val="36"/>
    </w:rPr>
  </w:style>
  <w:style w:type="character">
    <w:name w:val="DFKai-SB12pt"/>
    <w:rPr>
      <w:rFonts w:ascii="標楷體" w:hAnsi="標楷體" w:eastAsia="標楷體" w:cs="標楷體"/>
      <w:sz w:val="24"/>
      <w:szCs w:val="24"/>
    </w:rPr>
  </w:style>
  <w:style w:type="character">
    <w:name w:val="RedDFKai-SB12pt"/>
    <w:rPr>
      <w:rFonts w:ascii="標楷體" w:hAnsi="標楷體" w:eastAsia="標楷體" w:cs="標楷體"/>
      <w:color w:val="FF0000"/>
      <w:sz w:val="24"/>
      <w:szCs w:val="24"/>
    </w:rPr>
  </w:style>
  <w:style w:type="character">
    <w:name w:val="BlueDFKai-SB12pt"/>
    <w:rPr>
      <w:rFonts w:ascii="標楷體" w:hAnsi="標楷體" w:eastAsia="標楷體" w:cs="標楷體"/>
      <w:color w:val="0000FF"/>
      <w:sz w:val="24"/>
      <w:szCs w:val="24"/>
    </w:rPr>
  </w:style>
  <w:style w:type="table" w:customStyle="1" w:styleId="myTable">
    <w:name w:val="my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outlineTable">
    <w:name w:val="outline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descriptionDataTable">
    <w:name w:val="descriptionData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syllabusDataTable">
    <w:name w:val="syllabusData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noteTable">
    <w:name w:val="noteTable"/>
    <w:uiPriority w:val="99"/>
    <w:tblPr>
      <w:tblW w:w="0" w:type="auto"/>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NCTU</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National Chiao Tung University Curriculum Management System</dc:creator>
  <dc:title>國立陽明交通大學課務管理系統之選課系統</dc:title>
  <dc:description>https://ccms.nycu.edu.tw</dc:description>
  <dc:subject/>
  <cp:keywords/>
  <cp:category/>
  <cp:lastModifiedBy>CCMS</cp:lastModifiedBy>
  <dcterms:created xsi:type="dcterms:W3CDTF">2025-06-14T21:57:17+08:00</dcterms:created>
  <dcterms:modified xsi:type="dcterms:W3CDTF">2025-06-14T21:57:17+08:00</dcterms:modified>
</cp:coreProperties>
</file>

<file path=docProps/custom.xml><?xml version="1.0" encoding="utf-8"?>
<Properties xmlns="http://schemas.openxmlformats.org/officeDocument/2006/custom-properties" xmlns:vt="http://schemas.openxmlformats.org/officeDocument/2006/docPropsVTypes"/>
</file>