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有限元素法 Finite Element Method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（中文）有限元素法
                <w:br/>
                （英文）Finite Element Method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機械碩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ENME30022</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M567-EE206[GF]</w:t>
            </w:r>
          </w:p>
        </w:tc>
      </w:tr>
      <w:tr>
        <w:trPr/>
        <w:tc>
          <w:tcPr>
            <w:tcW w:w="13000" w:type="dxa"/>
            <w:gridSpan w:val="6"/>
          </w:tcPr>
          <w:p>
            <w:pPr>
              <w:jc w:val="left"/>
            </w:pPr>
            <w:r>
              <w:rPr>
                <w:rStyle w:val="MSJHBD-SB12pt"/>
              </w:rPr>
              <w:t xml:space="preserve">授課教師：</w:t>
            </w:r>
          </w:p>
          <w:p>
            <w:pPr>
              <w:jc w:val="left"/>
            </w:pPr>
            <w:r>
              <w:rPr>
                <w:rStyle w:val="BlueMSJHBD-SB12pt"/>
              </w:rPr>
              <w:t xml:space="preserve">劉義強</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Calculus and Physics</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Finite element procedures can solve engineering and physical problems by discretizing a continuous field into a system of algebraic equations.    The objective of the course is to teach student the concepts, procedures, coding, and numerical solution of finite elements.  Applications of the finite element procedures include analysis of structural mechanics and dynamics, heat and mass transfer. In addition,   student will learn matlab coding and solution of finite element models, and possibly the use of commercial software ANSYS .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Daryl L Logan, A First Course in the Finite Element Method, SI Edition, Cengage</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r>
        <w:trPr/>
        <w:tc>
          <w:tcPr>
            <w:tcW w:w="3000" w:type="dxa"/>
          </w:tcPr>
          <w:p>
            <w:pPr>
              <w:jc w:val="left"/>
            </w:pPr>
            <w:r>
              <w:rPr>
                <w:rStyle w:val="BlueMSJHBD-SB12pt"/>
              </w:rPr>
              <w:t xml:space="preserve">Introduction to finite element procedures</w:t>
            </w:r>
          </w:p>
        </w:tc>
        <w:tc>
          <w:tcPr>
            <w:tcW w:w="3000" w:type="dxa"/>
          </w:tcPr>
          <w:p>
            <w:pPr>
              <w:jc w:val="left"/>
            </w:pPr>
            <w:r>
              <w:rPr>
                <w:rStyle w:val="BlueMSJHBD-SB12pt"/>
              </w:rPr>
              <w:t xml:space="preserve">Introduction of Stiffness Method</w:t>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Development of Truss Equation</w:t>
              <w:br/>
              <w:t>
</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Development of Beam Equation</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Development of Plane Stress/Strain Stiffness Equation</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Practice in Ansys Modeling</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Thermal Stress</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Isoparametric Formulation</w:t>
            </w:r>
          </w:p>
        </w:tc>
        <w:tc>
          <w:tcPr>
            <w:tcW w:w="3000" w:type="dxa"/>
          </w:tcPr>
          <w:p>
            <w:pPr>
              <w:jc w:val="left"/>
            </w:pPr>
            <w:r>
              <w:rPr>
                <w:rStyle w:val="BlueMSJHBD-SB12pt"/>
              </w:rPr>
              <w:t xml:space="preserve"/>
            </w:r>
          </w:p>
        </w:tc>
        <w:tc>
          <w:tcPr>
            <w:tcW w:w="1000" w:type="dxa"/>
          </w:tcPr>
          <w:p>
            <w:pPr>
              <w:jc w:val="center"/>
            </w:pPr>
            <w:r>
              <w:rPr>
                <w:rStyle w:val="BlueMSJHBD-SB12pt"/>
              </w:rPr>
              <w:t xml:space="preserve">3</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Plate Bending Element</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Dynamic</w:t>
            </w:r>
          </w:p>
        </w:tc>
        <w:tc>
          <w:tcPr>
            <w:tcW w:w="3000" w:type="dxa"/>
          </w:tcPr>
          <w:p>
            <w:pPr>
              <w:jc w:val="left"/>
            </w:pPr>
            <w:r>
              <w:rPr>
                <w:rStyle w:val="BlueMSJHBD-SB12pt"/>
              </w:rPr>
              <w:t xml:space="preserve"/>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Three Dimensional Stress Analysis</w:t>
            </w:r>
          </w:p>
        </w:tc>
        <w:tc>
          <w:tcPr>
            <w:tcW w:w="3000" w:type="dxa"/>
          </w:tcPr>
          <w:p>
            <w:pPr>
              <w:jc w:val="left"/>
            </w:pPr>
            <w:r>
              <w:rPr>
                <w:rStyle w:val="BlueMSJHBD-SB12pt"/>
              </w:rPr>
              <w:t xml:space="preserve">Three Dimensional Stress Analysis</w:t>
            </w:r>
          </w:p>
        </w:tc>
        <w:tc>
          <w:tcPr>
            <w:tcW w:w="1000" w:type="dxa"/>
          </w:tcPr>
          <w:p>
            <w:pPr>
              <w:jc w:val="center"/>
            </w:pPr>
            <w:r>
              <w:rPr>
                <w:rStyle w:val="BlueMSJHBD-SB12pt"/>
              </w:rPr>
              <w:t xml:space="preserve">6</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Homework (20%), Ansys Handson (15%), Project (15%)  1st Midterm Exam 第1次期中考 (25%)  Final Exam 期末考 (25%)</w:t>
            </w:r>
          </w:p>
          <w:p>
            <w:pPr>
              <w:jc w:val="left"/>
            </w:pPr>
            <w:r>
              <w:rPr>
                <w:rStyle w:val="MSJHBD-SB12pt"/>
              </w:rPr>
              <w:t xml:space="preserve">2.教學方法及教學相關配合事項（如助教、網站或圖書及資料庫等）</w:t>
            </w:r>
          </w:p>
          <w:p>
            <w:pPr>
              <w:jc w:val="left"/>
            </w:pPr>
            <w:r>
              <w:rPr>
                <w:rStyle w:val="BlueMSJHBD-SB12pt"/>
              </w:rPr>
              <w:t xml:space="preserve"> Teaching Assistant 教學助教, ANSYS Hands-on, Matlab Hands on</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Monday 13:20 to 16:20</w:t>
            </w:r>
          </w:p>
        </w:tc>
        <w:tc>
          <w:tcPr>
            <w:tcW w:w="2000" w:type="dxa"/>
          </w:tcPr>
          <w:p>
            <w:pPr>
              <w:jc w:val="left"/>
            </w:pPr>
            <w:r>
              <w:rPr>
                <w:rStyle w:val="BlueMSJHBD-SB12pt"/>
              </w:rPr>
              <w:t xml:space="preserve">工程五館206教室(EE206)
</w:t>
            </w:r>
          </w:p>
        </w:tc>
        <w:tc>
          <w:tcPr>
            <w:tcW w:w="4000" w:type="dxa"/>
          </w:tcPr>
          <w:p>
            <w:pPr>
              <w:jc w:val="left"/>
            </w:pPr>
            <w:r>
              <w:rPr>
                <w:rStyle w:val="BlueMSJHBD-SB12pt"/>
              </w:rPr>
              <w:t xml:space="preserve">Ext 55107; Email: mgklau@nycu.edu.tw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2025-09-01(一)</w:t>
            </w:r>
          </w:p>
        </w:tc>
        <w:tc>
          <w:tcPr>
            <w:tcW w:w="7000" w:type="dxa"/>
          </w:tcPr>
          <w:p>
            <w:pPr>
              <w:jc w:val="left"/>
            </w:pPr>
            <w:r>
              <w:rPr>
                <w:rStyle w:val="BlueMSJHBD-SB12pt"/>
              </w:rPr>
              <w:t xml:space="preserve">Introduction to finite element procedures, Analysis of Truss Structure</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2025-09-08(一)</w:t>
            </w:r>
          </w:p>
        </w:tc>
        <w:tc>
          <w:tcPr>
            <w:tcW w:w="7000" w:type="dxa"/>
          </w:tcPr>
          <w:p>
            <w:pPr>
              <w:jc w:val="left"/>
            </w:pPr>
            <w:r>
              <w:rPr>
                <w:rStyle w:val="BlueMSJHBD-SB12pt"/>
              </w:rPr>
              <w:t xml:space="preserve">Development of Truss Equation: Energy method, Weighted residual method,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2025-09-15(一)</w:t>
            </w:r>
          </w:p>
        </w:tc>
        <w:tc>
          <w:tcPr>
            <w:tcW w:w="7000" w:type="dxa"/>
          </w:tcPr>
          <w:p>
            <w:pPr>
              <w:jc w:val="left"/>
            </w:pPr>
            <w:r>
              <w:rPr>
                <w:rStyle w:val="BlueMSJHBD-SB12pt"/>
              </w:rPr>
              <w:t xml:space="preserve">Space Truss and Thermal Stress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2025-09-22(一)</w:t>
            </w:r>
          </w:p>
        </w:tc>
        <w:tc>
          <w:tcPr>
            <w:tcW w:w="7000" w:type="dxa"/>
          </w:tcPr>
          <w:p>
            <w:pPr>
              <w:jc w:val="left"/>
            </w:pPr>
            <w:r>
              <w:rPr>
                <w:rStyle w:val="BlueMSJHBD-SB12pt"/>
              </w:rPr>
              <w:t xml:space="preserve">Ansys and Matlab Hands-on Session: Development of Truss Equation</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2025-09-29(一)</w:t>
            </w:r>
          </w:p>
        </w:tc>
        <w:tc>
          <w:tcPr>
            <w:tcW w:w="7000" w:type="dxa"/>
          </w:tcPr>
          <w:p>
            <w:pPr>
              <w:jc w:val="left"/>
            </w:pPr>
            <w:r>
              <w:rPr>
                <w:rStyle w:val="BlueMSJHBD-SB12pt"/>
              </w:rPr>
              <w:t xml:space="preserve">Development of Beam Equation (i)</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2025-10-06(一)</w:t>
            </w:r>
          </w:p>
        </w:tc>
        <w:tc>
          <w:tcPr>
            <w:tcW w:w="7000" w:type="dxa"/>
          </w:tcPr>
          <w:p>
            <w:pPr>
              <w:jc w:val="left"/>
            </w:pPr>
            <w:r>
              <w:rPr>
                <w:rStyle w:val="BlueMSJHBD-SB12pt"/>
              </w:rPr>
              <w:t xml:space="preserve">Development of Beam Equation (ii)</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2025-10-13(一)</w:t>
            </w:r>
          </w:p>
        </w:tc>
        <w:tc>
          <w:tcPr>
            <w:tcW w:w="7000" w:type="dxa"/>
          </w:tcPr>
          <w:p>
            <w:pPr>
              <w:jc w:val="left"/>
            </w:pPr>
            <w:r>
              <w:rPr>
                <w:rStyle w:val="BlueMSJHBD-SB12pt"/>
              </w:rPr>
              <w:t xml:space="preserve">Frame Structures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2025-10-20(一)</w:t>
            </w:r>
          </w:p>
        </w:tc>
        <w:tc>
          <w:tcPr>
            <w:tcW w:w="7000" w:type="dxa"/>
          </w:tcPr>
          <w:p>
            <w:pPr>
              <w:jc w:val="left"/>
            </w:pPr>
            <w:r>
              <w:rPr>
                <w:rStyle w:val="BlueMSJHBD-SB12pt"/>
              </w:rPr>
              <w:t xml:space="preserve">Ansys and Matlab Hands-on Session: Beam Element</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2025-10-27(一)</w:t>
            </w:r>
          </w:p>
        </w:tc>
        <w:tc>
          <w:tcPr>
            <w:tcW w:w="7000" w:type="dxa"/>
          </w:tcPr>
          <w:p>
            <w:pPr>
              <w:jc w:val="left"/>
            </w:pPr>
            <w:r>
              <w:rPr>
                <w:rStyle w:val="BlueMSJHBD-SB12pt"/>
              </w:rPr>
              <w:t xml:space="preserve">Mid-term examination</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2025-11-03(一)</w:t>
            </w:r>
          </w:p>
        </w:tc>
        <w:tc>
          <w:tcPr>
            <w:tcW w:w="7000" w:type="dxa"/>
          </w:tcPr>
          <w:p>
            <w:pPr>
              <w:jc w:val="left"/>
            </w:pPr>
            <w:r>
              <w:rPr>
                <w:rStyle w:val="BlueMSJHBD-SB12pt"/>
              </w:rPr>
              <w:t xml:space="preserve">Development of Plane Stress/Strain Stiffness Equation</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2025-11-10(一)</w:t>
            </w:r>
          </w:p>
        </w:tc>
        <w:tc>
          <w:tcPr>
            <w:tcW w:w="7000" w:type="dxa"/>
          </w:tcPr>
          <w:p>
            <w:pPr>
              <w:jc w:val="left"/>
            </w:pPr>
            <w:r>
              <w:rPr>
                <w:rStyle w:val="BlueMSJHBD-SB12pt"/>
              </w:rPr>
              <w:t xml:space="preserve">2D triangular ＆amp;  membrane finite elements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2025-11-17(一)</w:t>
            </w:r>
          </w:p>
        </w:tc>
        <w:tc>
          <w:tcPr>
            <w:tcW w:w="7000" w:type="dxa"/>
          </w:tcPr>
          <w:p>
            <w:pPr>
              <w:jc w:val="left"/>
            </w:pPr>
            <w:r>
              <w:rPr>
                <w:rStyle w:val="BlueMSJHBD-SB12pt"/>
              </w:rPr>
              <w:t xml:space="preserve">Interpolation Function, Change of Variables and Jacobian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2025-11-24(一)</w:t>
            </w:r>
          </w:p>
        </w:tc>
        <w:tc>
          <w:tcPr>
            <w:tcW w:w="7000" w:type="dxa"/>
          </w:tcPr>
          <w:p>
            <w:pPr>
              <w:jc w:val="left"/>
            </w:pPr>
            <w:r>
              <w:rPr>
                <w:rStyle w:val="BlueMSJHBD-SB12pt"/>
              </w:rPr>
              <w:t xml:space="preserve">Plane Rectangular Element</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2025-12-01(一)</w:t>
            </w:r>
          </w:p>
        </w:tc>
        <w:tc>
          <w:tcPr>
            <w:tcW w:w="7000" w:type="dxa"/>
          </w:tcPr>
          <w:p>
            <w:pPr>
              <w:jc w:val="left"/>
            </w:pPr>
            <w:r>
              <w:rPr>
                <w:rStyle w:val="BlueMSJHBD-SB12pt"/>
              </w:rPr>
              <w:t xml:space="preserve">Ansys and Matlab Hands-on Session: Membrane Finite Element</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2025-12-08(一)</w:t>
            </w:r>
          </w:p>
        </w:tc>
        <w:tc>
          <w:tcPr>
            <w:tcW w:w="7000" w:type="dxa"/>
          </w:tcPr>
          <w:p>
            <w:pPr>
              <w:jc w:val="left"/>
            </w:pPr>
            <w:r>
              <w:rPr>
                <w:rStyle w:val="BlueMSJHBD-SB12pt"/>
              </w:rPr>
              <w:t xml:space="preserve">Applications to Thermoelastic deformation of Solid</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2025-12-15(一)</w:t>
            </w:r>
          </w:p>
        </w:tc>
        <w:tc>
          <w:tcPr>
            <w:tcW w:w="7000" w:type="dxa"/>
          </w:tcPr>
          <w:p>
            <w:pPr>
              <w:jc w:val="left"/>
            </w:pPr>
            <w:r>
              <w:rPr>
                <w:rStyle w:val="BlueMSJHBD-SB12pt"/>
              </w:rPr>
              <w:t xml:space="preserve">Final Examination</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2025-06-14T21:58:11+08:00</dcterms:created>
  <dcterms:modified xsi:type="dcterms:W3CDTF">2025-06-14T21:58:11+08:00</dcterms:modified>
</cp:coreProperties>
</file>

<file path=docProps/custom.xml><?xml version="1.0" encoding="utf-8"?>
<Properties xmlns="http://schemas.openxmlformats.org/officeDocument/2006/custom-properties" xmlns:vt="http://schemas.openxmlformats.org/officeDocument/2006/docPropsVTypes"/>
</file>