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隨機時序決策與分析 Sequential Decision Modeling and Analytics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（中文）隨機時序決策與分析
                <w:br/>
                （英文）Sequential Decision Modeling and Analytics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工管碩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MGEM30084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F234-MB506[GF]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田凱文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Basic probability theory, Operations Research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This course provides an in-depth exploration of sequential decision making and its industrial applications. Students will gain a solid foundation in stochastic modeling, Markov Decision Processes (MDPs), and Reinforcement Learning (RL), with a focus on practical applications in optimization, automation, and decision-making under uncertainty. Hands-on experience through project work and presentations will ensure students can apply these concepts to real-world industrial problems.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• Ross, Sheldon M. (2014) Introduction to probability models. Academic press. (optional)</w:t>
              <w:br/>
              <w:t>
• Puterman, M. L. (2014). Markov decision processes: discrete stochastic dynamic programming. John Wiley ＆amp; Sons. (optional)</w:t>
              <w:br/>
              <w:t>
• Sutton R. ＆amp; Barto A. (2020). Reinforcement Learning: An Introduction (2nd Edition). Cambridge: The MIT Press. (free online)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Markov Decision Process (MDP)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Basic Concept of Markov Decision Process</w:t>
              <w:br/>
              <w:t>
2. Finite or infinite MDP</w:t>
              <w:br/>
              <w:t>
3. Policy and Value Iteration Method 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Reinforcement Learning (RL)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Basic concept of RL</w:t>
              <w:br/>
              <w:t>
2. Model-Free RL</w:t>
              <w:br/>
              <w:t>
3. Deep RL</w:t>
              <w:br/>
              <w:t>
4. Multi-Armed Bandits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Preliminary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Probability Theory</w:t>
              <w:br/>
              <w:t>
2. Discrete Markov Chain</w:t>
              <w:br/>
              <w:t>
3. Sequential Decision-Making Framework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•Homework Assignments (3-4 times): 30%</w:t>
              <w:br/>
              <w:t>
•Midterm Exam: 35%</w:t>
              <w:br/>
              <w:t>
•Final Project: 35%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Python-language programming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Mon. 12:00 – 14:00 (or by appointment)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MB512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kaiwen.tien@nycu.edu.tw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2025-09-05(五)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Sequential Decision Making and Analytics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[2025-09-05]田凱文(3)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Preliminary - Basic Probability, Conditional Probabilities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[2025-09-12]田凱文(3)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2025-09-19(五)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Preliminary - Markov Chain Properties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[2025-09-19]田凱文(3)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2025-09-26(五)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Preliminary - Introduction to Python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[2025-09-26]田凱文(3)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2025-10-03(五)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MDP - Sequential Decision Modeling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[2025-10-03]田凱文(3)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2025-10-10(五)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Holiday: Double 10th Day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[2025-10-10]田凱文(3)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2025-10-17(五)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MDP - Final Horizon MDP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[2025-10-17]田凱文(3)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2025-10-24(五)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MDP - Infinite Horizon MDP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[2025-10-24]田凱文(3)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2025-10-31(五)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[2025-10-31]田凱文(3)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2025-11-07(五)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MDP - Advanced Topics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[2025-11-07]田凱文(3)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2025-11-14(五)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RL: Introduction</w:t>
              <w:br/>
              <w:t>
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[2025-11-14]田凱文(3)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2025-11-21(五)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RL: -Monte Carlo Method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[2025-11-21]田凱文(3)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2025-11-28(五)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RL: Temporal Difference (TD) Learning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[2025-11-28]田凱文(3)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2025-12-05(五)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RL: Advanced Topics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[2025-12-05]田凱文(3)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RL: Python in class practice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[2025-12-12]田凱文(3)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2025-12-19(五)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Project Presentation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[2025-12-19]田凱文(3)</w:t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2025-06-14T21:59:55+08:00</dcterms:created>
  <dcterms:modified xsi:type="dcterms:W3CDTF">2025-06-14T21:59:55+08:00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