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刑事訴訟法(一) Criminal Procedure(Ⅰ)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（中文）刑事訴訟法(一)
                <w:br/>
                （英文）Criminal Procedure(Ⅰ)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科法碩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LWLW30034</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T234-MB1069[GF]</w:t>
            </w:r>
          </w:p>
        </w:tc>
      </w:tr>
      <w:tr>
        <w:trPr/>
        <w:tc>
          <w:tcPr>
            <w:tcW w:w="13000" w:type="dxa"/>
            <w:gridSpan w:val="6"/>
          </w:tcPr>
          <w:p>
            <w:pPr>
              <w:jc w:val="left"/>
            </w:pPr>
            <w:r>
              <w:rPr>
                <w:rStyle w:val="MSJHBD-SB12pt"/>
              </w:rPr>
              <w:t xml:space="preserve">授課教師：</w:t>
            </w:r>
          </w:p>
          <w:p>
            <w:pPr>
              <w:jc w:val="left"/>
            </w:pPr>
            <w:r>
              <w:rPr>
                <w:rStyle w:val="BlueMSJHBD-SB12pt"/>
              </w:rPr>
              <w:t xml:space="preserve">金孟華、林志潔</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適合修讀對象：
刑事法律之初學者、有意報考法律類別國家考試者。
學生背景：
本課程是刑事法律之基礎課程，惟刑事程序法涉及基本權之干預，學生應對憲法所保障之基本權有所認識。
先修課程：
必先修刑法總則、可同時選修刑法分則。
外語能力：
無外語能力之要求。
陽明校區連線網址：https://nctulaw.webex.com/nctulaw-tc/j.php?MTID=m5fbe80742e5505c4d9160b6cf95a24ab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
              <w:br/>
              <w:t>
主要課程內容：</w:t>
              <w:br/>
              <w:t>
</w:t>
              <w:br/>
              <w:t>
本課程之目的在於介紹刑事訴訟法之各項程序，使同學充分瞭解刑事案件從偵查、審理、乃至定讞後非常救濟程序之過程。</w:t>
              <w:br/>
              <w:t>
</w:t>
              <w:br/>
              <w:t>
本課程之特色有三：</w:t>
              <w:br/>
              <w:t>
</w:t>
              <w:br/>
              <w:t>
一、刑事訴訟法涵蓋了刑事案件自偵查以來的案件進行程序，以及所有刑事程序參與者的角色分配及規範。刑事程序於實務上的操作尤為重要，因此本課程將以實務見解作為主軸，再視輔以學說上之見解。又近年來刑事訴訟法受到美國當事人進行主義影響甚深，本課程亦將納入比較法之觀點。</w:t>
              <w:br/>
              <w:t>
</w:t>
              <w:br/>
              <w:t>
二、除了刑事訴訟法本文外，因刑事訴訟法的修正方向對於刑事案件的進行至關重要，故本課程亦將適時介紹國內外刑事程序之重大改革及修法議題。</w:t>
              <w:br/>
              <w:t>
</w:t>
              <w:br/>
              <w:t>
三、本課程將納入實例解題，每堂課皆安排一定比例之時間，幫助同學熟悉國家考試考題型及走向。</w:t>
              <w:br/>
              <w:t>
</w:t>
              <w:br/>
              <w:t>
學習目標：</w:t>
              <w:br/>
              <w:t>
</w:t>
              <w:br/>
              <w:t>
一、熟悉刑事訴訟中各種程序之意義及在整體刑事訴訟程序上所扮演的角色。</w:t>
              <w:br/>
              <w:t>
</w:t>
              <w:br/>
              <w:t>
二、辨認刑事訴訟中，學術與實務上的法律爭點。</w:t>
              <w:br/>
              <w:t>
</w:t>
              <w:br/>
              <w:t>
三、接觸各種不同之國考題型，熟悉考試技巧。</w:t>
              <w:br/>
              <w:t>
</w:t>
              <w:br/>
              <w:t>
上課方式：</w:t>
              <w:br/>
              <w:t>
實體教室、網路同步、網路非同步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
              <w:br/>
              <w:t>
請就下列書籍擇一作為參考書：</w:t>
              <w:br/>
              <w:t>
</w:t>
              <w:br/>
              <w:t>
林鈺雄，刑事訴訟法。</w:t>
              <w:br/>
              <w:t>
</w:t>
              <w:br/>
              <w:t>
林俊益，刑事訴訟法概論。</w:t>
              <w:br/>
              <w:t>
</w:t>
              <w:br/>
              <w:t>
林鈺雄老師之教科書體系完整、學理敘述堅強，林俊益法官之教科書強調實務見解，各有參考價值。</w:t>
              <w:br/>
              <w:t>
</w:t>
              <w:br/>
              <w:t>
上課前後可自行利用參考書籍預習及複習，上課應攜帶小六法，同時教師也將視情形補充期刊文章。　</w:t>
              <w:br/>
              <w:t>
</w:t>
              <w:br/>
              <w:t>
刑事訴訟法修法頻繁，小六法及教科書請購買最新版本。</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
              <w:br/>
              <w:t>
出席與上課表現：20% (以上課積極提出問題、參與討論程度斟酌給分)</w:t>
              <w:br/>
              <w:t>
</w:t>
              <w:br/>
              <w:t>
作業：30% </w:t>
              <w:br/>
              <w:t>
</w:t>
              <w:br/>
              <w:t>
期中考：25% (2小時，內容包括期中考前所涵蓋之所有範圍。)</w:t>
              <w:br/>
              <w:t>
</w:t>
              <w:br/>
              <w:t>
期末考：25% (2小時，內容包括學期間所涵蓋之所有範圍。)</w:t>
            </w:r>
          </w:p>
          <w:p>
            <w:pPr>
              <w:jc w:val="left"/>
            </w:pPr>
            <w:r>
              <w:rPr>
                <w:rStyle w:val="MSJHBD-SB12pt"/>
              </w:rPr>
              <w:t xml:space="preserve">2.教學方法及教學相關配合事項（如助教、網站或圖書及資料庫等）</w:t>
            </w:r>
          </w:p>
          <w:p>
            <w:pPr>
              <w:jc w:val="left"/>
            </w:pPr>
            <w:r>
              <w:rPr>
                <w:rStyle w:val="BlueMSJHBD-SB12pt"/>
              </w:rPr>
              <w:t xml:space="preserve">課程資訊公告與問題反映：相關事項將透過e3系統公布，亦可透過電子信箱聯絡授課教師。</w:t>
              <w:br/>
              <w:t>
</w:t>
              <w:br/>
              <w:t>
本課程開放網路同步或非同步上課，科法所在職專班、博班學生及學分班學生，可以網路同步或非同步方式上課。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週四下課後 </w:t>
            </w:r>
          </w:p>
        </w:tc>
        <w:tc>
          <w:tcPr>
            <w:tcW w:w="2000" w:type="dxa"/>
          </w:tcPr>
          <w:p>
            <w:pPr>
              <w:jc w:val="left"/>
            </w:pPr>
            <w:r>
              <w:rPr>
                <w:rStyle w:val="BlueMSJHBD-SB12pt"/>
              </w:rPr>
              <w:t xml:space="preserve">科法所 金孟華教授研究室 　</w:t>
            </w:r>
          </w:p>
        </w:tc>
        <w:tc>
          <w:tcPr>
            <w:tcW w:w="4000" w:type="dxa"/>
          </w:tcPr>
          <w:p>
            <w:pPr>
              <w:jc w:val="left"/>
            </w:pPr>
            <w:r>
              <w:rPr>
                <w:rStyle w:val="BlueMSJHBD-SB12pt"/>
              </w:rPr>
              <w:t xml:space="preserve">分機：57567
mhchin@nycu.edu.tw
</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2025-09-02(二)</w:t>
            </w:r>
          </w:p>
        </w:tc>
        <w:tc>
          <w:tcPr>
            <w:tcW w:w="7000" w:type="dxa"/>
          </w:tcPr>
          <w:p>
            <w:pPr>
              <w:jc w:val="left"/>
            </w:pPr>
            <w:r>
              <w:rPr>
                <w:rStyle w:val="BlueMSJHBD-SB12pt"/>
              </w:rPr>
              <w:t xml:space="preserve">課程概要</w:t>
            </w:r>
          </w:p>
        </w:tc>
        <w:tc>
          <w:tcPr>
            <w:tcW w:w="500" w:type="dxa"/>
          </w:tcPr>
          <w:p>
            <w:pPr>
              <w:jc w:val="left"/>
            </w:pPr>
            <w:r>
              <w:rPr>
                <w:rStyle w:val="BlueMSJHBD-SB12pt"/>
              </w:rPr>
              <w:t xml:space="preserve">　[2025-09-02]金孟華(3)</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2025-09-09(二)</w:t>
            </w:r>
          </w:p>
        </w:tc>
        <w:tc>
          <w:tcPr>
            <w:tcW w:w="7000" w:type="dxa"/>
          </w:tcPr>
          <w:p>
            <w:pPr>
              <w:jc w:val="left"/>
            </w:pPr>
            <w:r>
              <w:rPr>
                <w:rStyle w:val="BlueMSJHBD-SB12pt"/>
              </w:rPr>
              <w:t xml:space="preserve">刑事訴訟的基本概念與基礎構造</w:t>
            </w:r>
          </w:p>
        </w:tc>
        <w:tc>
          <w:tcPr>
            <w:tcW w:w="500" w:type="dxa"/>
          </w:tcPr>
          <w:p>
            <w:pPr>
              <w:jc w:val="left"/>
            </w:pPr>
            <w:r>
              <w:rPr>
                <w:rStyle w:val="BlueMSJHBD-SB12pt"/>
              </w:rPr>
              <w:t xml:space="preserve">　[2025-09-09]金孟華(3)</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2025-09-16(二)</w:t>
            </w:r>
          </w:p>
        </w:tc>
        <w:tc>
          <w:tcPr>
            <w:tcW w:w="7000" w:type="dxa"/>
          </w:tcPr>
          <w:p>
            <w:pPr>
              <w:jc w:val="left"/>
            </w:pPr>
            <w:r>
              <w:rPr>
                <w:rStyle w:val="BlueMSJHBD-SB12pt"/>
              </w:rPr>
              <w:t xml:space="preserve">刑事訴訟的基本概念與基礎構造</w:t>
            </w:r>
          </w:p>
        </w:tc>
        <w:tc>
          <w:tcPr>
            <w:tcW w:w="500" w:type="dxa"/>
          </w:tcPr>
          <w:p>
            <w:pPr>
              <w:jc w:val="left"/>
            </w:pPr>
            <w:r>
              <w:rPr>
                <w:rStyle w:val="BlueMSJHBD-SB12pt"/>
              </w:rPr>
              <w:t xml:space="preserve">　[2025-09-16]金孟華(3)</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2025-09-23(二)</w:t>
            </w:r>
          </w:p>
        </w:tc>
        <w:tc>
          <w:tcPr>
            <w:tcW w:w="7000" w:type="dxa"/>
          </w:tcPr>
          <w:p>
            <w:pPr>
              <w:jc w:val="left"/>
            </w:pPr>
            <w:r>
              <w:rPr>
                <w:rStyle w:val="BlueMSJHBD-SB12pt"/>
              </w:rPr>
              <w:t xml:space="preserve">訴訟主體</w:t>
            </w:r>
          </w:p>
        </w:tc>
        <w:tc>
          <w:tcPr>
            <w:tcW w:w="500" w:type="dxa"/>
          </w:tcPr>
          <w:p>
            <w:pPr>
              <w:jc w:val="left"/>
            </w:pPr>
            <w:r>
              <w:rPr>
                <w:rStyle w:val="BlueMSJHBD-SB12pt"/>
              </w:rPr>
              <w:t xml:space="preserve">　[2025-09-23]金孟華(3)</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2025-09-30(二)</w:t>
            </w:r>
          </w:p>
        </w:tc>
        <w:tc>
          <w:tcPr>
            <w:tcW w:w="7000" w:type="dxa"/>
          </w:tcPr>
          <w:p>
            <w:pPr>
              <w:jc w:val="left"/>
            </w:pPr>
            <w:r>
              <w:rPr>
                <w:rStyle w:val="BlueMSJHBD-SB12pt"/>
              </w:rPr>
              <w:t xml:space="preserve">訴訟主體</w:t>
            </w:r>
          </w:p>
        </w:tc>
        <w:tc>
          <w:tcPr>
            <w:tcW w:w="500" w:type="dxa"/>
          </w:tcPr>
          <w:p>
            <w:pPr>
              <w:jc w:val="left"/>
            </w:pPr>
            <w:r>
              <w:rPr>
                <w:rStyle w:val="BlueMSJHBD-SB12pt"/>
              </w:rPr>
              <w:t xml:space="preserve">　[2025-09-30]金孟華(3)</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2025-10-07(二)</w:t>
            </w:r>
          </w:p>
        </w:tc>
        <w:tc>
          <w:tcPr>
            <w:tcW w:w="7000" w:type="dxa"/>
          </w:tcPr>
          <w:p>
            <w:pPr>
              <w:jc w:val="left"/>
            </w:pPr>
            <w:r>
              <w:rPr>
                <w:rStyle w:val="BlueMSJHBD-SB12pt"/>
              </w:rPr>
              <w:t xml:space="preserve">訴訟主體</w:t>
            </w:r>
          </w:p>
        </w:tc>
        <w:tc>
          <w:tcPr>
            <w:tcW w:w="500" w:type="dxa"/>
          </w:tcPr>
          <w:p>
            <w:pPr>
              <w:jc w:val="left"/>
            </w:pPr>
            <w:r>
              <w:rPr>
                <w:rStyle w:val="BlueMSJHBD-SB12pt"/>
              </w:rPr>
              <w:t xml:space="preserve">　[2025-10-07]金孟華(3)</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2025-10-14(二)</w:t>
            </w:r>
          </w:p>
        </w:tc>
        <w:tc>
          <w:tcPr>
            <w:tcW w:w="7000" w:type="dxa"/>
          </w:tcPr>
          <w:p>
            <w:pPr>
              <w:jc w:val="left"/>
            </w:pPr>
            <w:r>
              <w:rPr>
                <w:rStyle w:val="BlueMSJHBD-SB12pt"/>
              </w:rPr>
              <w:t xml:space="preserve">訴訟主體</w:t>
            </w:r>
          </w:p>
        </w:tc>
        <w:tc>
          <w:tcPr>
            <w:tcW w:w="500" w:type="dxa"/>
          </w:tcPr>
          <w:p>
            <w:pPr>
              <w:jc w:val="left"/>
            </w:pPr>
            <w:r>
              <w:rPr>
                <w:rStyle w:val="BlueMSJHBD-SB12pt"/>
              </w:rPr>
              <w:t xml:space="preserve">　[2025-10-14]金孟華(3)</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2025-10-21(二)</w:t>
            </w:r>
          </w:p>
        </w:tc>
        <w:tc>
          <w:tcPr>
            <w:tcW w:w="7000" w:type="dxa"/>
          </w:tcPr>
          <w:p>
            <w:pPr>
              <w:jc w:val="left"/>
            </w:pPr>
            <w:r>
              <w:rPr>
                <w:rStyle w:val="BlueMSJHBD-SB12pt"/>
              </w:rPr>
              <w:t xml:space="preserve">期中考試（非同步上課同學遠距考試時間為10/26 10:00-12:00） </w:t>
            </w:r>
          </w:p>
        </w:tc>
        <w:tc>
          <w:tcPr>
            <w:tcW w:w="500" w:type="dxa"/>
          </w:tcPr>
          <w:p>
            <w:pPr>
              <w:jc w:val="left"/>
            </w:pPr>
            <w:r>
              <w:rPr>
                <w:rStyle w:val="BlueMSJHBD-SB12pt"/>
              </w:rPr>
              <w:t xml:space="preserve">　[2025-10-21]金孟華(3)</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2025-10-28(二)</w:t>
            </w:r>
          </w:p>
        </w:tc>
        <w:tc>
          <w:tcPr>
            <w:tcW w:w="7000" w:type="dxa"/>
          </w:tcPr>
          <w:p>
            <w:pPr>
              <w:jc w:val="left"/>
            </w:pPr>
            <w:r>
              <w:rPr>
                <w:rStyle w:val="BlueMSJHBD-SB12pt"/>
              </w:rPr>
              <w:t xml:space="preserve">訴訟客體</w:t>
            </w:r>
          </w:p>
        </w:tc>
        <w:tc>
          <w:tcPr>
            <w:tcW w:w="500" w:type="dxa"/>
          </w:tcPr>
          <w:p>
            <w:pPr>
              <w:jc w:val="left"/>
            </w:pPr>
            <w:r>
              <w:rPr>
                <w:rStyle w:val="BlueMSJHBD-SB12pt"/>
              </w:rPr>
              <w:t xml:space="preserve">　[2025-10-28]金孟華(3)</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2025-11-04(二)</w:t>
            </w:r>
          </w:p>
        </w:tc>
        <w:tc>
          <w:tcPr>
            <w:tcW w:w="7000" w:type="dxa"/>
          </w:tcPr>
          <w:p>
            <w:pPr>
              <w:jc w:val="left"/>
            </w:pPr>
            <w:r>
              <w:rPr>
                <w:rStyle w:val="BlueMSJHBD-SB12pt"/>
              </w:rPr>
              <w:t xml:space="preserve">強制處分</w:t>
            </w:r>
          </w:p>
        </w:tc>
        <w:tc>
          <w:tcPr>
            <w:tcW w:w="500" w:type="dxa"/>
          </w:tcPr>
          <w:p>
            <w:pPr>
              <w:jc w:val="left"/>
            </w:pPr>
            <w:r>
              <w:rPr>
                <w:rStyle w:val="BlueMSJHBD-SB12pt"/>
              </w:rPr>
              <w:t xml:space="preserve">　[2025-11-04]金孟華(3)</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2025-11-11(二)</w:t>
            </w:r>
          </w:p>
        </w:tc>
        <w:tc>
          <w:tcPr>
            <w:tcW w:w="7000" w:type="dxa"/>
          </w:tcPr>
          <w:p>
            <w:pPr>
              <w:jc w:val="left"/>
            </w:pPr>
            <w:r>
              <w:rPr>
                <w:rStyle w:val="BlueMSJHBD-SB12pt"/>
              </w:rPr>
              <w:t xml:space="preserve">強制處分</w:t>
            </w:r>
          </w:p>
        </w:tc>
        <w:tc>
          <w:tcPr>
            <w:tcW w:w="500" w:type="dxa"/>
          </w:tcPr>
          <w:p>
            <w:pPr>
              <w:jc w:val="left"/>
            </w:pPr>
            <w:r>
              <w:rPr>
                <w:rStyle w:val="BlueMSJHBD-SB12pt"/>
              </w:rPr>
              <w:t xml:space="preserve">　[2025-11-11]金孟華(3)</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2025-11-18(二)</w:t>
            </w:r>
          </w:p>
        </w:tc>
        <w:tc>
          <w:tcPr>
            <w:tcW w:w="7000" w:type="dxa"/>
          </w:tcPr>
          <w:p>
            <w:pPr>
              <w:jc w:val="left"/>
            </w:pPr>
            <w:r>
              <w:rPr>
                <w:rStyle w:val="BlueMSJHBD-SB12pt"/>
              </w:rPr>
              <w:t xml:space="preserve">強制處分</w:t>
            </w:r>
          </w:p>
        </w:tc>
        <w:tc>
          <w:tcPr>
            <w:tcW w:w="500" w:type="dxa"/>
          </w:tcPr>
          <w:p>
            <w:pPr>
              <w:jc w:val="left"/>
            </w:pPr>
            <w:r>
              <w:rPr>
                <w:rStyle w:val="BlueMSJHBD-SB12pt"/>
              </w:rPr>
              <w:t xml:space="preserve">　[2025-11-18]金孟華(3)</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2025-11-25(二)</w:t>
            </w:r>
          </w:p>
        </w:tc>
        <w:tc>
          <w:tcPr>
            <w:tcW w:w="7000" w:type="dxa"/>
          </w:tcPr>
          <w:p>
            <w:pPr>
              <w:jc w:val="left"/>
            </w:pPr>
            <w:r>
              <w:rPr>
                <w:rStyle w:val="BlueMSJHBD-SB12pt"/>
              </w:rPr>
              <w:t xml:space="preserve">證據法</w:t>
            </w:r>
          </w:p>
        </w:tc>
        <w:tc>
          <w:tcPr>
            <w:tcW w:w="500" w:type="dxa"/>
          </w:tcPr>
          <w:p>
            <w:pPr>
              <w:jc w:val="left"/>
            </w:pPr>
            <w:r>
              <w:rPr>
                <w:rStyle w:val="BlueMSJHBD-SB12pt"/>
              </w:rPr>
              <w:t xml:space="preserve">　[2025-11-25]金孟華(3)</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2025-12-02(二)</w:t>
            </w:r>
          </w:p>
        </w:tc>
        <w:tc>
          <w:tcPr>
            <w:tcW w:w="7000" w:type="dxa"/>
          </w:tcPr>
          <w:p>
            <w:pPr>
              <w:jc w:val="left"/>
            </w:pPr>
            <w:r>
              <w:rPr>
                <w:rStyle w:val="BlueMSJHBD-SB12pt"/>
              </w:rPr>
              <w:t xml:space="preserve">證據法</w:t>
            </w:r>
          </w:p>
        </w:tc>
        <w:tc>
          <w:tcPr>
            <w:tcW w:w="500" w:type="dxa"/>
          </w:tcPr>
          <w:p>
            <w:pPr>
              <w:jc w:val="left"/>
            </w:pPr>
            <w:r>
              <w:rPr>
                <w:rStyle w:val="BlueMSJHBD-SB12pt"/>
              </w:rPr>
              <w:t xml:space="preserve">　[2025-12-02]金孟華(3)</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2025-12-09(二)</w:t>
            </w:r>
          </w:p>
        </w:tc>
        <w:tc>
          <w:tcPr>
            <w:tcW w:w="7000" w:type="dxa"/>
          </w:tcPr>
          <w:p>
            <w:pPr>
              <w:jc w:val="left"/>
            </w:pPr>
            <w:r>
              <w:rPr>
                <w:rStyle w:val="BlueMSJHBD-SB12pt"/>
              </w:rPr>
              <w:t xml:space="preserve">證據法</w:t>
            </w:r>
          </w:p>
        </w:tc>
        <w:tc>
          <w:tcPr>
            <w:tcW w:w="500" w:type="dxa"/>
          </w:tcPr>
          <w:p>
            <w:pPr>
              <w:jc w:val="left"/>
            </w:pPr>
            <w:r>
              <w:rPr>
                <w:rStyle w:val="BlueMSJHBD-SB12pt"/>
              </w:rPr>
              <w:t xml:space="preserve">　[2025-12-09]金孟華(3)</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2025-12-16(二)</w:t>
            </w:r>
          </w:p>
        </w:tc>
        <w:tc>
          <w:tcPr>
            <w:tcW w:w="7000" w:type="dxa"/>
          </w:tcPr>
          <w:p>
            <w:pPr>
              <w:jc w:val="left"/>
            </w:pPr>
            <w:r>
              <w:rPr>
                <w:rStyle w:val="BlueMSJHBD-SB12pt"/>
              </w:rPr>
              <w:t xml:space="preserve">期末考試（非同步上課同學遠距考試時間為12/21 10:00-12:00） </w:t>
            </w:r>
          </w:p>
        </w:tc>
        <w:tc>
          <w:tcPr>
            <w:tcW w:w="500" w:type="dxa"/>
          </w:tcPr>
          <w:p>
            <w:pPr>
              <w:jc w:val="left"/>
            </w:pPr>
            <w:r>
              <w:rPr>
                <w:rStyle w:val="BlueMSJHBD-SB12pt"/>
              </w:rPr>
              <w:t xml:space="preserve">　[2025-12-16]金孟華(3)</w:t>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2025-06-14T22:00:15+08:00</dcterms:created>
  <dcterms:modified xsi:type="dcterms:W3CDTF">2025-06-14T22:00:15+08:00</dcterms:modified>
</cp:coreProperties>
</file>

<file path=docProps/custom.xml><?xml version="1.0" encoding="utf-8"?>
<Properties xmlns="http://schemas.openxmlformats.org/officeDocument/2006/custom-properties" xmlns:vt="http://schemas.openxmlformats.org/officeDocument/2006/docPropsVTypes"/>
</file>