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類比混合訊號電路設計特論 Special topics in analog mixed-signal circuit design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（中文）類比混合訊號電路設計特論
                <w:br/>
                （英文）Special topics in analog mixed-signal circuit design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前瞻半導體</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IIPS30001</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F678-EC015[GF]</w:t>
            </w:r>
          </w:p>
        </w:tc>
      </w:tr>
      <w:tr>
        <w:trPr/>
        <w:tc>
          <w:tcPr>
            <w:tcW w:w="13000" w:type="dxa"/>
            <w:gridSpan w:val="6"/>
          </w:tcPr>
          <w:p>
            <w:pPr>
              <w:jc w:val="left"/>
            </w:pPr>
            <w:r>
              <w:rPr>
                <w:rStyle w:val="MSJHBD-SB12pt"/>
              </w:rPr>
              <w:t xml:space="preserve">授課教師：</w:t>
            </w:r>
          </w:p>
          <w:p>
            <w:pPr>
              <w:jc w:val="left"/>
            </w:pPr>
            <w:r>
              <w:rPr>
                <w:rStyle w:val="BlueMSJHBD-SB12pt"/>
              </w:rPr>
              <w:t xml:space="preserve">許雲翔、蕭振宇</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Microelectronics, Circuit theories, Introduction to analog integrated circuits</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This course will introduce the fundamentals of various ADC/Wireline architectures. The content will cover the building blocks of ADC/Wireline and their non-idealities in practical circuits. Students will practice the design flow, starting with Matlab modeling, followed by circuit simulation with ideal blocks, and then replacing parts of these blocks with real circuits.</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Midterm exam 15%, Final exam 15%, Homework 40%, Final project 30%</w:t>
            </w:r>
          </w:p>
          <w:p>
            <w:pPr>
              <w:jc w:val="left"/>
            </w:pPr>
            <w:r>
              <w:rPr>
                <w:rStyle w:val="MSJHBD-SB12pt"/>
              </w:rPr>
              <w:t xml:space="preserve">2.教學方法及教學相關配合事項（如助教、網站或圖書及資料庫等）</w:t>
            </w:r>
          </w:p>
          <w:p>
            <w:pPr>
              <w:jc w:val="left"/>
            </w:pPr>
            <w:r>
              <w:rPr>
                <w:rStyle w:val="BlueMSJHBD-SB12pt"/>
              </w:rPr>
              <w:t xml:space="preserve">Reference:</w:t>
              <w:br/>
              <w:t>
1. Behzad Razavi, “Design of Analog CMOS Integrated Circuits,” McGraw-Hill, 2001.</w:t>
              <w:br/>
              <w:t>
2. Behzad Razavi, “Principles of Data Conversion System Design,” Wiley-IEEE Press, 1994.</w:t>
              <w:br/>
              <w:t>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
            </w:r>
          </w:p>
        </w:tc>
        <w:tc>
          <w:tcPr>
            <w:tcW w:w="2000" w:type="dxa"/>
          </w:tcPr>
          <w:p>
            <w:pPr>
              <w:jc w:val="left"/>
            </w:pPr>
            <w:r>
              <w:rPr>
                <w:rStyle w:val="BlueMSJHBD-SB12pt"/>
              </w:rPr>
              <w:t xml:space="preserve"/>
            </w:r>
          </w:p>
        </w:tc>
        <w:tc>
          <w:tcPr>
            <w:tcW w:w="4000" w:type="dxa"/>
          </w:tcPr>
          <w:p>
            <w:pPr>
              <w:jc w:val="left"/>
            </w:pPr>
            <w:r>
              <w:rPr>
                <w:rStyle w:val="BlueMSJHBD-SB12pt"/>
              </w:rPr>
              <w:t xml:space="preserve"/>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2025-09-05(五)</w:t>
            </w:r>
          </w:p>
        </w:tc>
        <w:tc>
          <w:tcPr>
            <w:tcW w:w="7000" w:type="dxa"/>
          </w:tcPr>
          <w:p>
            <w:pPr>
              <w:jc w:val="left"/>
            </w:pPr>
            <w:r>
              <w:rPr>
                <w:rStyle w:val="BlueMSJHBD-SB12pt"/>
              </w:rPr>
              <w:t xml:space="preserve">Introduction to Course Content and Rating Rules</w:t>
              <w:br/>
              <w:t>
Analog-to-Digital Data Converter (ADC) Overview</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2025-09-12(五)</w:t>
            </w:r>
          </w:p>
        </w:tc>
        <w:tc>
          <w:tcPr>
            <w:tcW w:w="7000" w:type="dxa"/>
          </w:tcPr>
          <w:p>
            <w:pPr>
              <w:jc w:val="left"/>
            </w:pPr>
            <w:r>
              <w:rPr>
                <w:rStyle w:val="BlueMSJHBD-SB12pt"/>
              </w:rPr>
              <w:t xml:space="preserve">ADC Performance Indexes and Flash ADC</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2025-09-19(五)</w:t>
            </w:r>
          </w:p>
        </w:tc>
        <w:tc>
          <w:tcPr>
            <w:tcW w:w="7000" w:type="dxa"/>
          </w:tcPr>
          <w:p>
            <w:pPr>
              <w:jc w:val="left"/>
            </w:pPr>
            <w:r>
              <w:rPr>
                <w:rStyle w:val="BlueMSJHBD-SB12pt"/>
              </w:rPr>
              <w:t xml:space="preserve">Sampling Theory and SAR ADC</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2025-09-26(五)</w:t>
            </w:r>
          </w:p>
        </w:tc>
        <w:tc>
          <w:tcPr>
            <w:tcW w:w="7000" w:type="dxa"/>
          </w:tcPr>
          <w:p>
            <w:pPr>
              <w:jc w:val="left"/>
            </w:pPr>
            <w:r>
              <w:rPr>
                <w:rStyle w:val="BlueMSJHBD-SB12pt"/>
              </w:rPr>
              <w:t xml:space="preserve">Oversampling and Noise Shaping</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2025-10-03(五)</w:t>
            </w:r>
          </w:p>
        </w:tc>
        <w:tc>
          <w:tcPr>
            <w:tcW w:w="7000" w:type="dxa"/>
          </w:tcPr>
          <w:p>
            <w:pPr>
              <w:jc w:val="left"/>
            </w:pPr>
            <w:r>
              <w:rPr>
                <w:rStyle w:val="BlueMSJHBD-SB12pt"/>
              </w:rPr>
              <w:t xml:space="preserve">Delta-Sigma Modulator</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2025-10-10(五)</w:t>
            </w:r>
          </w:p>
        </w:tc>
        <w:tc>
          <w:tcPr>
            <w:tcW w:w="7000" w:type="dxa"/>
          </w:tcPr>
          <w:p>
            <w:pPr>
              <w:jc w:val="left"/>
            </w:pPr>
            <w:r>
              <w:rPr>
                <w:rStyle w:val="BlueMSJHBD-SB12pt"/>
              </w:rPr>
              <w:t xml:space="preserve">國慶日</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2025-10-17(五)</w:t>
            </w:r>
          </w:p>
        </w:tc>
        <w:tc>
          <w:tcPr>
            <w:tcW w:w="7000" w:type="dxa"/>
          </w:tcPr>
          <w:p>
            <w:pPr>
              <w:jc w:val="left"/>
            </w:pPr>
            <w:r>
              <w:rPr>
                <w:rStyle w:val="BlueMSJHBD-SB12pt"/>
              </w:rPr>
              <w:t xml:space="preserve">Pipelined ADC and Digital Calibration</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2025-10-24(五)</w:t>
            </w:r>
          </w:p>
        </w:tc>
        <w:tc>
          <w:tcPr>
            <w:tcW w:w="7000" w:type="dxa"/>
          </w:tcPr>
          <w:p>
            <w:pPr>
              <w:jc w:val="left"/>
            </w:pPr>
            <w:r>
              <w:rPr>
                <w:rStyle w:val="BlueMSJHBD-SB12pt"/>
              </w:rPr>
              <w:t xml:space="preserve">Midterm Examination (ADC)</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2025-10-31(五)</w:t>
            </w:r>
          </w:p>
        </w:tc>
        <w:tc>
          <w:tcPr>
            <w:tcW w:w="7000" w:type="dxa"/>
          </w:tcPr>
          <w:p>
            <w:pPr>
              <w:jc w:val="left"/>
            </w:pPr>
            <w:r>
              <w:rPr>
                <w:rStyle w:val="BlueMSJHBD-SB12pt"/>
              </w:rPr>
              <w:t xml:space="preserve">High-Speed Links Overview</w:t>
              <w:br/>
              <w:t>
-SerDes standards and link sequence</w:t>
              <w:br/>
              <w:t>
-Noise and signaling</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2025-11-07(五)</w:t>
            </w:r>
          </w:p>
        </w:tc>
        <w:tc>
          <w:tcPr>
            <w:tcW w:w="7000" w:type="dxa"/>
          </w:tcPr>
          <w:p>
            <w:pPr>
              <w:jc w:val="left"/>
            </w:pPr>
            <w:r>
              <w:rPr>
                <w:rStyle w:val="BlueMSJHBD-SB12pt"/>
              </w:rPr>
              <w:t xml:space="preserve">High-Speed Links Circuits and Systems</w:t>
              <w:br/>
              <w:t>
-Receiver circuits: AFE, DFE, adaptive algorithm</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2025-11-14(五)</w:t>
            </w:r>
          </w:p>
        </w:tc>
        <w:tc>
          <w:tcPr>
            <w:tcW w:w="7000" w:type="dxa"/>
          </w:tcPr>
          <w:p>
            <w:pPr>
              <w:jc w:val="left"/>
            </w:pPr>
            <w:r>
              <w:rPr>
                <w:rStyle w:val="BlueMSJHBD-SB12pt"/>
              </w:rPr>
              <w:t xml:space="preserve">High-Speed Links Circuits and Systems</w:t>
              <w:br/>
              <w:t>
-Receiver circuits: CDR, De-Multiplexer</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2025-11-21(五)</w:t>
            </w:r>
          </w:p>
        </w:tc>
        <w:tc>
          <w:tcPr>
            <w:tcW w:w="7000" w:type="dxa"/>
          </w:tcPr>
          <w:p>
            <w:pPr>
              <w:jc w:val="left"/>
            </w:pPr>
            <w:r>
              <w:rPr>
                <w:rStyle w:val="BlueMSJHBD-SB12pt"/>
              </w:rPr>
              <w:t xml:space="preserve">High-Speed Links Circuits and Systems</w:t>
              <w:br/>
              <w:t>
-Transmitter circuits: Driver, Multiplexer, FIR EQ</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2025-11-28(五)</w:t>
            </w:r>
          </w:p>
        </w:tc>
        <w:tc>
          <w:tcPr>
            <w:tcW w:w="7000" w:type="dxa"/>
          </w:tcPr>
          <w:p>
            <w:pPr>
              <w:jc w:val="left"/>
            </w:pPr>
            <w:r>
              <w:rPr>
                <w:rStyle w:val="BlueMSJHBD-SB12pt"/>
              </w:rPr>
              <w:t xml:space="preserve">Phase-Locked Loop (PLL)</w:t>
              <w:br/>
              <w:t>
-Introduction of PLL</w:t>
              <w:br/>
              <w:t>
-Building Blocks in PLL</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2025-12-05(五)</w:t>
            </w:r>
          </w:p>
        </w:tc>
        <w:tc>
          <w:tcPr>
            <w:tcW w:w="7000" w:type="dxa"/>
          </w:tcPr>
          <w:p>
            <w:pPr>
              <w:jc w:val="left"/>
            </w:pPr>
            <w:r>
              <w:rPr>
                <w:rStyle w:val="BlueMSJHBD-SB12pt"/>
              </w:rPr>
              <w:t xml:space="preserve">Phase-Locked Loop (PLL)</w:t>
              <w:br/>
              <w:t>
-Phase noise and jitter</w:t>
              <w:br/>
              <w:t>
-PLL Implementation and Simulation</w:t>
              <w:br/>
              <w:t>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2025-12-12(五)</w:t>
            </w:r>
          </w:p>
        </w:tc>
        <w:tc>
          <w:tcPr>
            <w:tcW w:w="7000" w:type="dxa"/>
          </w:tcPr>
          <w:p>
            <w:pPr>
              <w:jc w:val="left"/>
            </w:pPr>
            <w:r>
              <w:rPr>
                <w:rStyle w:val="BlueMSJHBD-SB12pt"/>
              </w:rPr>
              <w:t xml:space="preserve">Final Examination (High-Speed Links/PLL)</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2025-12-19(五)</w:t>
            </w:r>
          </w:p>
        </w:tc>
        <w:tc>
          <w:tcPr>
            <w:tcW w:w="7000" w:type="dxa"/>
          </w:tcPr>
          <w:p>
            <w:pPr>
              <w:jc w:val="left"/>
            </w:pPr>
            <w:r>
              <w:rPr>
                <w:rStyle w:val="BlueMSJHBD-SB12pt"/>
              </w:rPr>
              <w:t xml:space="preserve">Final Project Report (ADC or High-Speed Links/PLL)</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2025-06-14T22:00:26+08:00</dcterms:created>
  <dcterms:modified xsi:type="dcterms:W3CDTF">2025-06-14T22:00:26+08:00</dcterms:modified>
</cp:coreProperties>
</file>

<file path=docProps/custom.xml><?xml version="1.0" encoding="utf-8"?>
<Properties xmlns="http://schemas.openxmlformats.org/officeDocument/2006/custom-properties" xmlns:vt="http://schemas.openxmlformats.org/officeDocument/2006/docPropsVTypes"/>
</file>