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5380078B">
      <w:pPr>
        <w:spacing w:after="240" w:line="420"/>
        <w:jc w:val="left"/>
        <w:rPr>
          <w:color w:val="1565c0"/>
        </w:rPr>
      </w:pPr>
      <w:r>
        <w:rPr>
          <w:rFonts w:hint="eastAsia" w:ascii="微软雅黑" w:hAnsi="微软雅黑" w:eastAsia="微软雅黑" w:cs="微软雅黑"/>
          <w:color w:val="1565c0"/>
          <w:spacing w:val="43"/>
          <w:sz w:val="20"/>
        </w:rPr>
        <w:t>产品需求文档</w:t>
      </w:r>
    </w:p>
    <w:p w14:paraId="3E15B6A5">
      <w:pPr>
        <w:spacing w:after="96" w:line="324"/>
        <w:jc w:val="left"/>
        <w:rPr>
          <w:color w:val="212121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52"/>
        </w:rPr>
        <w:t>案例评测与结果回流平台</w:t>
      </w:r>
    </w:p>
    <w:p w14:paraId="7C2B6D4A">
      <w:pPr>
        <w:spacing w:after="720" w:line="384"/>
        <w:jc w:val="left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8"/>
        </w:rPr>
        <w:t>把提示词案例变成可复用素材的内部工具</w:t>
      </w:r>
    </w:p>
    <w:p w14:paraId="71677886">
      <w:pPr>
        <w:spacing w:after="192" w:line="480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</w:rPr>
        <w:t>版本 v2.1（精简版）</w:t>
      </w:r>
      <w:r>
        <w:br w:type="textWrapping"/>
      </w:r>
      <w:r>
        <w:rPr>
          <w:rFonts w:hint="eastAsia" w:ascii="宋体" w:hAnsi="宋体" w:eastAsia="宋体" w:cs="宋体"/>
          <w:color w:val="616161"/>
          <w:sz w:val="20"/>
        </w:rPr>
        <w:t>内容团队</w:t>
      </w:r>
      <w:r>
        <w:br w:type="textWrapping"/>
      </w:r>
      <w:r>
        <w:rPr>
          <w:rFonts w:hint="eastAsia" w:ascii="宋体" w:hAnsi="宋体" w:eastAsia="宋体" w:cs="宋体"/>
          <w:color w:val="616161"/>
          <w:sz w:val="20"/>
        </w:rPr>
        <w:t>2026 年 10 月 20 日</w:t>
      </w:r>
      <w:r>
        <w:br w:type="textWrapping"/>
      </w:r>
      <w:r>
        <w:rPr>
          <w:rFonts w:hint="eastAsia" w:ascii="宋体" w:hAnsi="宋体" w:eastAsia="宋体" w:cs="宋体"/>
          <w:color w:val="616161"/>
          <w:sz w:val="20"/>
        </w:rPr>
        <w:t>状态：评审中</w:t>
      </w:r>
    </w:p>
    <w:p w14:paraId="4BCF3D07">
      <w:pPr>
        <w:spacing w:before="240" w:after="120"/>
      </w:pPr>
      <w:r>
        <w:rPr>
          <w:rFonts w:hint="eastAsia"/>
          <w:b w:val="1"/>
        </w:rPr>
        <w:t>目录</w:t>
      </w:r>
    </w:p>
    <w:p w14:paraId="4BC9789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"s1" </w:instrText>
      </w:r>
      <w:r>
        <w:fldChar w:fldCharType="separate" w:fldLock="0" w:dirty="0"/>
      </w:r>
      <w:r>
        <w:rPr>
          <w:rFonts w:hint="eastAsia"/>
        </w:rPr>
        <w:t>1 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BADC3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"s2" </w:instrText>
      </w:r>
      <w:r>
        <w:fldChar w:fldCharType="separate" w:fldLock="0" w:dirty="0"/>
      </w:r>
      <w:r>
        <w:rPr>
          <w:rFonts w:hint="eastAsia"/>
        </w:rPr>
        <w:t>2 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FF78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"s3" </w:instrText>
      </w:r>
      <w:r>
        <w:fldChar w:fldCharType="separate" w:fldLock="0" w:dirty="0"/>
      </w:r>
      <w:r>
        <w:rPr>
          <w:rFonts w:hint="eastAsia"/>
        </w:rPr>
        <w:t>3 核心流程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BBCD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"s4" </w:instrText>
      </w:r>
      <w:r>
        <w:fldChar w:fldCharType="separate" w:fldLock="0" w:dirty="0"/>
      </w:r>
      <w:r>
        <w:rPr>
          <w:rFonts w:hint="eastAsia"/>
        </w:rPr>
        <w:t>4 功能要点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6C996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"s4-1" </w:instrText>
      </w:r>
      <w:r>
        <w:fldChar w:fldCharType="separate" w:fldLock="0" w:dirty="0"/>
      </w:r>
      <w:r>
        <w:rPr>
          <w:rFonts w:hint="eastAsia"/>
        </w:rPr>
        <w:t>4.1 案例库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5DBE3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"s4-2" </w:instrText>
      </w:r>
      <w:r>
        <w:fldChar w:fldCharType="separate" w:fldLock="0" w:dirty="0"/>
      </w:r>
      <w:r>
        <w:rPr>
          <w:rFonts w:hint="eastAsia"/>
        </w:rPr>
        <w:t>4.2 发起测试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925BD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"s4-3" </w:instrText>
      </w:r>
      <w:r>
        <w:fldChar w:fldCharType="separate" w:fldLock="0" w:dirty="0"/>
      </w:r>
      <w:r>
        <w:rPr>
          <w:rFonts w:hint="eastAsia"/>
        </w:rPr>
        <w:t>4.3 运行结果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37047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"s4-4" </w:instrText>
      </w:r>
      <w:r>
        <w:fldChar w:fldCharType="separate" w:fldLock="0" w:dirty="0"/>
      </w:r>
      <w:r>
        <w:rPr>
          <w:rFonts w:hint="eastAsia"/>
        </w:rPr>
        <w:t>4.4 带走内容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F938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"s5" </w:instrText>
      </w:r>
      <w:r>
        <w:fldChar w:fldCharType="separate" w:fldLock="0" w:dirty="0"/>
      </w:r>
      <w:r>
        <w:rPr>
          <w:rFonts w:hint="eastAsia"/>
        </w:rPr>
        <w:t>5 三个必须守住的技术决定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00D1C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"s5-1" </w:instrText>
      </w:r>
      <w:r>
        <w:fldChar w:fldCharType="separate" w:fldLock="0" w:dirty="0"/>
      </w:r>
      <w:r>
        <w:rPr>
          <w:rFonts w:hint="eastAsia"/>
        </w:rPr>
        <w:t>5.1 版本锁定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7731A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"s5-2" </w:instrText>
      </w:r>
      <w:r>
        <w:fldChar w:fldCharType="separate" w:fldLock="0" w:dirty="0"/>
      </w:r>
      <w:r>
        <w:rPr>
          <w:rFonts w:hint="eastAsia"/>
        </w:rPr>
        <w:t>5.2 运行目录隔离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F2109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"s5-3" </w:instrText>
      </w:r>
      <w:r>
        <w:fldChar w:fldCharType="separate" w:fldLock="0" w:dirty="0"/>
      </w:r>
      <w:r>
        <w:rPr>
          <w:rFonts w:hint="eastAsia"/>
        </w:rPr>
        <w:t>5.3 不做双向同步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AC57C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"s6" </w:instrText>
      </w:r>
      <w:r>
        <w:fldChar w:fldCharType="separate" w:fldLock="0" w:dirty="0"/>
      </w:r>
      <w:r>
        <w:rPr>
          <w:rFonts w:hint="eastAsia"/>
        </w:rPr>
        <w:t>6 计划与风险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75958F4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36B316B">
      <w:pPr>
        <w:pStyle w:val="000005"/>
        <w:keepNext w:val="1"/>
        <w:keepLines w:val="1"/>
        <w:spacing w:before="240" w:beforeAutospacing="1" w:after="240" w:afterAutospacing="1" w:line="324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36"/>
        </w:rPr>
        <w:t>案例评测与结果回流平台 产品需求文档</w:t>
      </w: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216" w:type="dxa"/>
              <w:left w:w="264" w:type="dxa"/>
              <w:bottom w:w="216" w:type="dxa"/>
              <w:right w:w="264" w:type="dxa"/>
            </w:tcMar>
            <w:vAlign w:val="top"/>
          </w:tcPr>
          <w:p w14:paraId="2A8041A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ffffff"/>
                <w:sz w:val="25"/>
              </w:rPr>
              <w:t>摘要</w:t>
            </w:r>
          </w:p>
        </w:tc>
      </w:tr>
      <w:tr>
        <w:trPr/>
        <w:tc>
          <w:tcPr>
            <w:tcW w:w="8306" w:type="dxa"/>
            <w:tcBorders>
              <w:top w:val="single" w:color="d5dbe3" w:sz="6"/>
              <w:left w:val="single" w:color="1565c0" w:sz="18"/>
              <w:bottom w:val="single" w:color="d5dbe3" w:sz="6"/>
              <w:right w:val="single" w:color="d5dbe3" w:sz="6"/>
            </w:tcBorders>
            <w:shd w:val="clear" w:fill="f4f7fa"/>
            <w:tcMar>
              <w:top w:w="216" w:type="dxa"/>
              <w:left w:w="264" w:type="dxa"/>
              <w:bottom w:w="216" w:type="dxa"/>
              <w:right w:w="264" w:type="dxa"/>
            </w:tcMar>
            <w:vAlign w:val="top"/>
          </w:tcPr>
          <w:p w14:paraId="7039AC00">
            <w:pPr>
              <w:spacing w:before="60" w:after="60" w:line="420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本产品是内容团队内部使用的案例评测工具。它把散落的提示词案例整理成结构化资产，支持一次选中多个案例、一键在本地跑多个模型，结果连同产物、耗时、成本自动归档，并能以复制或下载的方式直接变成可用的文章素材。</w:t>
            </w:r>
          </w:p>
          <w:p w14:paraId="2480528B">
            <w:pPr>
              <w:spacing w:before="60" w:after="60" w:line="420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它不解决哪个模型更强，只解决结果从产生到被引用这一段的信息损耗。据此不做判定器、不做正确率统计，也不接第三方文档接口，整体工作量收敛到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0"/>
              </w:rPr>
              <w:t>8 至 9 人周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。</w:t>
            </w:r>
          </w:p>
        </w:tc>
      </w:tr>
    </w:tbl>
    <w:p w14:paraId="1AC95A8F">
      <w:pPr>
        <w:pStyle w:val="000006"/>
        <w:keepNext w:val="1"/>
        <w:keepLines w:val="1"/>
        <w:spacing w:before="480" w:beforeAutospacing="1" w:after="108" w:afterAutospacing="1" w:line="324"/>
        <w:outlineLvl w:val="1"/>
        <w:rPr>
          <w:color w:val="1565c0"/>
          <w:sz w:val="32"/>
          <w:szCs w:val="32"/>
        </w:rPr>
      </w:pPr>
      <w:bookmarkStart w:id="1" w:name="s1"/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1 问题</w:t>
      </w:r>
      <w:bookmarkEnd w:id="1"/>
    </w:p>
    <w:p w14:paraId="1F3B1FB0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现在的流程是：把案例整理成提示词，分别喂给几个模型，截图粘贴进飞书，写文章的人翻文档找，再搬进稿件。</w:t>
      </w:r>
    </w:p>
    <w:p w14:paraId="07361CA4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规模小的时候这套流程可用，因为人还记得到底是谁在什么时候跑的。但它有一个不可逆的损失：一次运行本来产生的是结构化数据，包括案例、模型版本、参数、耗时、成本和产物文件，为了塞进文档，被压成了截图和一段描述。压平之后无法还原，三个月后没人说得清那张图是哪个版本、什么参数跑出来的。</w:t>
      </w:r>
    </w:p>
    <w:p w14:paraId="10BD1406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由此带来三个后果：结果无法横向比较，因为口径不一致；素材不可检索，因为散落在多篇文档；视频在飞书里不自动播放，读者看不到效果。</w:t>
      </w:r>
    </w:p>
    <w:p w14:paraId="29C94292">
      <w:pPr>
        <w:pStyle w:val="000006"/>
        <w:keepNext w:val="1"/>
        <w:keepLines w:val="1"/>
        <w:spacing w:before="480" w:beforeAutospacing="1" w:after="108" w:afterAutospacing="1" w:line="324"/>
        <w:outlineLvl w:val="1"/>
        <w:rPr>
          <w:color w:val="1565c0"/>
          <w:sz w:val="32"/>
          <w:szCs w:val="32"/>
        </w:rPr>
      </w:pPr>
      <w:bookmarkStart w:id="2" w:name="s2"/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2 定位</w:t>
      </w:r>
      <w:bookmarkEnd w:id="2"/>
    </w:p>
    <w:p w14:paraId="7CE42E56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一句话：把提示词案例变成可复用素材的内部工具。</w:t>
      </w:r>
    </w:p>
    <w:p w14:paraId="3EE42BDD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两个角色，两种视角。跑测试的同学要的是操作台，选案例、配模型、发起、判定；写文章的同学要的是素材库，找结果、看对比、导出。同一个页面同时服务两者，两边都不好用，所以导航上必须分开。</w:t>
      </w:r>
    </w:p>
    <w:p w14:paraId="38E506B3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非目标三条：不做自动打分与正确率；不做对外 SaaS；不做云端沙箱，因为模型装在同事本机，云端复现不了环境。</w:t>
      </w:r>
    </w:p>
    <w:p w14:paraId="4332BDA3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成功标准两条：一次批量运行的结果整理耗时从约 30 分钟降到 1 分钟以内；每条结果都带完整元信息。</w:t>
      </w:r>
    </w:p>
    <w:p w14:paraId="17B3C537">
      <w:pPr>
        <w:pStyle w:val="000006"/>
        <w:keepNext w:val="1"/>
        <w:keepLines w:val="1"/>
        <w:spacing w:before="480" w:beforeAutospacing="1" w:after="108" w:afterAutospacing="1" w:line="324"/>
        <w:outlineLvl w:val="1"/>
        <w:rPr>
          <w:color w:val="1565c0"/>
          <w:sz w:val="32"/>
          <w:szCs w:val="32"/>
        </w:rPr>
      </w:pPr>
      <w:bookmarkStart w:id="3" w:name="s3"/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3 核心流程</w:t>
      </w:r>
      <w:bookmarkEnd w:id="3"/>
    </w:p>
    <w:p w14:paraId="33EEC1C1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选案例、进发起页配模型与参数、复制命令在本地执行、跑完自动回传、在矩阵里看结果、标记判定并写备注、导出到飞书。</w:t>
      </w:r>
    </w:p>
    <w:p w14:paraId="31C8B4D8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三个关键判断决定了后面所有设计。</w:t>
      </w:r>
    </w:p>
    <w:p w14:paraId="3DD6E1E0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第一，批量而非单条。一次选多个案例、一次跑多个模型，因为写文章时比较的是一批结果，不是一条。</w:t>
      </w:r>
    </w:p>
    <w:p w14:paraId="1112CB63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第二，结果用矩阵看。行是案例、列是模型，一屏看完；列表要逐条点开，比较成本太高。</w:t>
      </w:r>
    </w:p>
    <w:p w14:paraId="39D9A612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第三，导出就是终态。导出的东西要能直接进稿子，不需要再加工。</w:t>
      </w:r>
    </w:p>
    <w:p w14:paraId="15597EA9">
      <w:pPr>
        <w:pStyle w:val="000006"/>
        <w:keepNext w:val="1"/>
        <w:keepLines w:val="1"/>
        <w:spacing w:before="480" w:beforeAutospacing="1" w:after="108" w:afterAutospacing="1" w:line="324"/>
        <w:outlineLvl w:val="1"/>
        <w:rPr>
          <w:color w:val="1565c0"/>
          <w:sz w:val="32"/>
          <w:szCs w:val="32"/>
        </w:rPr>
      </w:pPr>
      <w:bookmarkStart w:id="4" w:name="s4"/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4 功能要点</w:t>
      </w:r>
      <w:bookmarkEnd w:id="4"/>
    </w:p>
    <w:p w14:paraId="46E51964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四块功能按使用顺序排列：案例库负责定义，发起页负责配置，结果页负责判断，导出负责交付。</w:t>
      </w:r>
    </w:p>
    <w:p w14:paraId="30A41DE8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5" w:name="s4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4.1 案例库</w:t>
      </w:r>
      <w:bookmarkEnd w:id="5"/>
    </w:p>
    <w:p w14:paraId="6AB72D41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卡片上半是效果预览，下半是提示词原文。案例的本质是那句提示词，标题是冗余信息；效果预览决定了这条案例值不值得跑。</w:t>
      </w:r>
    </w:p>
    <w:p w14:paraId="7781707C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三个维度正交：场景、能力维度、产物类型。三者回答的是不同问题，混成一层标签以后就没法按任一维度聚合。</w:t>
      </w:r>
    </w:p>
    <w:p w14:paraId="556ECABB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单击即多选，选中后底部浮出操作条。不在列表页直接运行，因为运行要配参数。</w:t>
      </w:r>
    </w:p>
    <w:p w14:paraId="65640337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6" w:name="s4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4.2 发起测试</w:t>
      </w:r>
      <w:bookmarkEnd w:id="6"/>
    </w:p>
    <w:p w14:paraId="07240498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独立页面，因为要放模型版本、思考模式、温度、并发、超时，弹窗放不下。</w:t>
      </w:r>
    </w:p>
    <w:p w14:paraId="2E6C17F3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调用层级分两种，由案例决定，不由发起人临场选。产物是一段文字的案例直接调模型接口，变量最少、结果可比、秒级返回；产物是一个文件的案例（网页、游戏、三维资产）必须走执行器，因为要写文件、跑命令。同一个案例内的所有模型必须走同一层，否则产物形态与用量口径都不一样，摆在一起没有意义。界面上要标出本批多少走接口、多少走执行器，因为两者耗时相差一个数量级。</w:t>
      </w:r>
    </w:p>
    <w:p w14:paraId="7125FCE3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模型上限三个。这不是技术限制，是可读性限制：三列是并排阅读的上限，四列要横向滚动，对比价值下降。</w:t>
      </w:r>
    </w:p>
    <w:p w14:paraId="5C72E0F0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页面右侧实时给出命令行。浏览器不能启动本地进程，命令是唯一入口。</w:t>
      </w:r>
    </w:p>
    <w:p w14:paraId="6C7DE867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7" w:name="s4-3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4.3 运行结果</w:t>
      </w:r>
      <w:bookmarkEnd w:id="7"/>
    </w:p>
    <w:p w14:paraId="44CA548A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矩阵呈现，行是案例、列是模型，每格是产物缩略图、耗时与三档判定。点开是三栏对比，包含产物、指标、判定和一句话备注。</w:t>
      </w:r>
    </w:p>
    <w:p w14:paraId="24E46348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判定只保留可用、待定、不能用三档，不做数值评分。内容类产出的差异不是分数能表达的，强行打分只会让人编数字。</w:t>
      </w:r>
    </w:p>
    <w:p w14:paraId="601EB9C7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协作发生在这里，而不是在文件上。判定与备注即时同步，并留一行痕迹说明谁在什么时候改的；每条结果有固定链接，谁打开都是同一份；讨论挂在具体结果上，不必回到群里说，三个月后还能翻到；运行状态可见，避免两个人重复跑同一批。视频不提供复制，只提供下载与链接，因为一份文件分发出去就会变成多个版本，而这正是当前流程最大的问题。</w:t>
      </w:r>
    </w:p>
    <w:p w14:paraId="4372801B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可见性从简：登录后团队内全部可见，不做按人分权。但结果按状态分三级——运行中标灰且不进统计，已完成未判定标为未评审，已判定的才作为可信结果呈现。对外分享必须另走一套：生成带随机串的只读链接并设有效期，打开只看得到这一条运行，不能把内部地址直接发出去。</w:t>
      </w:r>
    </w:p>
    <w:p w14:paraId="5363D998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8" w:name="s4-4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4.4 带走内容</w:t>
      </w:r>
      <w:bookmarkEnd w:id="8"/>
    </w:p>
    <w:p w14:paraId="2F729BE5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不接第三方文档接口，网页本身就是最终形态。先分清两种人：跑测试的同学产物本来就在自己机器上，命令行跑完落在本次运行的目录里，根本不需要下载；真正需要带走的是写文章的同学，而他在另一台机器上。</w:t>
      </w:r>
    </w:p>
    <w:p w14:paraId="03257569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对后者提供四个出口。复制整组，把当前对比渲染成带表格的富文本，一次粘贴进文档。复制单图，以位图形式进剪贴板。下载，单文件或整包打包。深链接，文档里只贴链接，内容更新后仍指向最新状态。</w:t>
      </w:r>
    </w:p>
    <w:p w14:paraId="77360741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剪贴板传不了文件，这是操作系统的边界，不是网页做得不好。视频从来没有复制粘贴这回事；GIF 即使进了剪贴板，粘到别的应用也多半只剩首帧。所以视频和 GIF 只能走下载，界面不要给一个按不动的复制按钮。</w:t>
      </w:r>
    </w:p>
    <w:p w14:paraId="01EB7B2D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批量场景必须打包。一次运行十几条结果，逐条下载不现实，应导出一个压缩包，内含对比表、用量数据和按案例分目录的产物文件。</w:t>
      </w:r>
    </w:p>
    <w:p w14:paraId="086C6766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另外提供一种替代形态：把视频按等间隔抽帧拼成一张九宫格图片。静态图可以复制、可以粘贴、不会在文档里失效，说明过程时信息密度也比动图高。GIF 与拼图并存，由使用者选择。</w:t>
      </w:r>
    </w:p>
    <w:p w14:paraId="315DA64D">
      <w:pPr>
        <w:pStyle w:val="000006"/>
        <w:keepNext w:val="1"/>
        <w:keepLines w:val="1"/>
        <w:spacing w:before="480" w:beforeAutospacing="1" w:after="108" w:afterAutospacing="1" w:line="324"/>
        <w:outlineLvl w:val="1"/>
        <w:rPr>
          <w:color w:val="1565c0"/>
          <w:sz w:val="32"/>
          <w:szCs w:val="32"/>
        </w:rPr>
      </w:pPr>
      <w:bookmarkStart w:id="9" w:name="s5"/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5 三个必须守住的技术决定</w:t>
      </w:r>
      <w:bookmarkEnd w:id="9"/>
    </w:p>
    <w:p w14:paraId="67DD8383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以下三条不是实现细节，而是决定这套数据以后还能不能用的约束。写在这里，是因为它们在后期补不上。</w:t>
      </w:r>
    </w:p>
    <w:p w14:paraId="7714DA36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10" w:name="s5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5.1 版本锁定</w:t>
      </w:r>
      <w:bookmarkEnd w:id="10"/>
    </w:p>
    <w:p w14:paraId="35B7EFFD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运行记录锁定案例版本与模型版本的组合，任何一方变更都不影响历史记录。这是数据可信度的地基，第一版就要做。</w:t>
      </w:r>
    </w:p>
    <w:p w14:paraId="79DEE694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11" w:name="s5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5.2 运行目录隔离</w:t>
      </w:r>
      <w:bookmarkEnd w:id="11"/>
    </w:p>
    <w:p w14:paraId="2D582A51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每次运行使用独立目录。共用目录会被后完成的覆盖，产物归属错乱且不可恢复。耗时受并发影响只是数据质量问题，产物覆盖是数据丢失问题。</w:t>
      </w:r>
    </w:p>
    <w:p w14:paraId="7137CD20">
      <w:pPr>
        <w:pStyle w:val="000007"/>
        <w:keepNext w:val="1"/>
        <w:keepLines w:val="1"/>
        <w:spacing w:before="240" w:beforeAutospacing="1" w:after="84" w:afterAutospacing="1" w:line="324"/>
        <w:outlineLvl w:val="2"/>
        <w:rPr>
          <w:color w:val="212121"/>
          <w:sz w:val="32"/>
          <w:szCs w:val="32"/>
        </w:rPr>
      </w:pPr>
      <w:bookmarkStart w:id="12" w:name="s5-3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5.3 不做双向同步</w:t>
      </w:r>
      <w:bookmarkEnd w:id="12"/>
    </w:p>
    <w:p w14:paraId="059755EF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无论是接文档接口还是别的方式，一律只做单向输出。一旦建立双向同步，就要面对两边都能改、谁是真相对不上、冲突怎么合并这三个问题。团队规模不需要这种复杂度。</w:t>
      </w:r>
    </w:p>
    <w:p w14:paraId="7757D963">
      <w:pPr>
        <w:pStyle w:val="000006"/>
        <w:keepNext w:val="1"/>
        <w:keepLines w:val="1"/>
        <w:spacing w:before="480" w:beforeAutospacing="1" w:after="108" w:afterAutospacing="1" w:line="324"/>
        <w:outlineLvl w:val="1"/>
        <w:rPr>
          <w:color w:val="1565c0"/>
          <w:sz w:val="32"/>
          <w:szCs w:val="32"/>
        </w:rPr>
      </w:pPr>
      <w:bookmarkStart w:id="13" w:name="s6"/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6 计划与风险</w:t>
      </w:r>
      <w:bookmarkEnd w:id="13"/>
    </w:p>
    <w:p w14:paraId="557860AA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分三期，按依赖关系而非功能多少划分。P0 结束即可验证整条链路是否成立。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4f7fa"/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5E13F2E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阶段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4f7fa"/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473344A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范围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4f7fa"/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4FDA355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预估</w:t>
            </w:r>
          </w:p>
        </w:tc>
      </w:tr>
      <w:tr>
        <w:trPr/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7E1145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P0 打通链路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2DB82F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案例库、命令行工具、两个适配器、结果矩阵、详情对比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355657E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5 周</w:t>
            </w:r>
          </w:p>
        </w:tc>
      </w:tr>
      <w:tr>
        <w:trPr/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637147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P1 补齐协作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2A63B9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发起页参数、判定与备注、运行历史、案例新建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3113C5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2 周</w:t>
            </w:r>
          </w:p>
        </w:tc>
      </w:tr>
      <w:tr>
        <w:trPr/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6F1CDA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P2 补齐带走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52977A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复制整组、复制单图、打包下载、GIF 多段剪辑</w:t>
            </w:r>
          </w:p>
        </w:tc>
        <w:tc>
          <w:tcPr>
            <w:tcW w:w="2768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62AF82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1 到 2 周</w:t>
            </w:r>
          </w:p>
        </w:tc>
      </w:tr>
    </w:tbl>
    <w:p w14:paraId="7DDADEBB">
      <w:pPr>
        <w:spacing w:after="192" w:line="420"/>
        <w:ind w:firstLine="480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合计 8 到 9 人周，两人协作约 4 到 5 周。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4f7fa"/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66BA7CE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风险</w:t>
            </w:r>
          </w:p>
        </w:tc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shd w:val="clear" w:fill="f4f7fa"/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6F831EA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应对</w:t>
            </w:r>
          </w:p>
        </w:tc>
      </w:tr>
      <w:tr>
        <w:trPr/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690114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适配器长尾，每接一个新执行器两到五天</w:t>
            </w:r>
          </w:p>
        </w:tc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171761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首版只接最常用的两个，其余按需排期</w:t>
            </w:r>
          </w:p>
        </w:tc>
      </w:tr>
      <w:tr>
        <w:trPr/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371132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非工程同学不会用终端，退回截图</w:t>
            </w:r>
          </w:p>
        </w:tc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50AA5B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首版给一键复制命令，反馈不佳再补托盘程序</w:t>
            </w:r>
          </w:p>
        </w:tc>
      </w:tr>
      <w:tr>
        <w:trPr/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7082EA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复制体验不如预期，仍需手工搬运</w:t>
            </w:r>
          </w:p>
        </w:tc>
        <w:tc>
          <w:tcPr>
            <w:tcW w:w="4153" w:type="dxa"/>
            <w:tcBorders>
              <w:top w:val="single" w:color="d5dbe3" w:sz="6"/>
              <w:left w:val="single" w:color="d5dbe3" w:sz="6"/>
              <w:bottom w:val="single" w:color="d5dbe3" w:sz="6"/>
              <w:right w:val="single" w:color="d5dbe3" w:sz="6"/>
            </w:tcBorders>
            <w:tcMar>
              <w:top w:w="100" w:type="dxa"/>
              <w:left w:w="132" w:type="dxa"/>
              <w:bottom w:w="100" w:type="dxa"/>
              <w:right w:w="132" w:type="dxa"/>
            </w:tcMar>
            <w:vAlign w:val="top"/>
          </w:tcPr>
          <w:p w14:paraId="455EB6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上线后统计每周搬运次数，超过阈值再补文档接口</w:t>
            </w:r>
          </w:p>
        </w:tc>
      </w:tr>
    </w:tbl>
    <w:p w14:paraId="4EBF24A3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C4838EB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13ED784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macro" w:semiHidden="1" w:unhideWhenUsed="1"/>
    <w:lsdException w:name="Title" w:uiPriority="10" w:qFormat="1"/>
    <w:lsdException w:name="Body Text 3" w:semiHidden="1" w:unhideWhenUsed="1"/>
    <w:lsdException w:name="toc 2" w:uiPriority="39" w:semiHidden="1" w:unhideWhenUsed="1"/>
    <w:lsdException w:name="index 4" w:semiHidden="1" w:unhideWhenUsed="1"/>
    <w:lsdException w:name="table of authorities" w:semiHidden="1" w:unhideWhenUsed="1"/>
    <w:lsdException w:name="heading 4" w:uiPriority="9" w:semiHidden="1" w:unhideWhenUsed="1" w:qFormat="1"/>
    <w:lsdException w:name="index 9" w:semiHidden="1" w:unhideWhenUsed="1"/>
    <w:lsdException w:name="index 1" w:semiHidden="1" w:unhideWhenUsed="1"/>
    <w:lsdException w:name="heading 8" w:uiPriority="9" w:semiHidden="1" w:unhideWhenUsed="1" w:qFormat="1"/>
    <w:lsdException w:name="index 3" w:semiHidden="1" w:unhideWhenUsed="1"/>
    <w:lsdException w:name="Body Text Indent 3" w:semiHidden="1" w:unhideWhenUsed="1"/>
    <w:lsdException w:name="line number" w:semiHidden="1" w:unhideWhenUsed="1"/>
    <w:lsdException w:name="List" w:semiHidden="1" w:unhideWhenUsed="1"/>
    <w:lsdException w:name="annotation reference" w:semiHidden="1" w:unhideWhenUsed="1"/>
    <w:lsdException w:name="List Bullet 2" w:semiHidden="1" w:unhideWhenUsed="1"/>
    <w:lsdException w:name="List Continue 4" w:semiHidden="1" w:unhideWhenUsed="1"/>
    <w:lsdException w:name="List Number 2" w:semiHidden="1" w:unhideWhenUsed="1"/>
    <w:lsdException w:name="Closing" w:semiHidden="1" w:unhideWhenUsed="1"/>
    <w:lsdException w:name="index 6" w:semiHidden="1" w:unhideWhenUsed="1"/>
    <w:lsdException w:name="Signature" w:semiHidden="1" w:unhideWhenUsed="1"/>
    <w:lsdException w:name="List 3" w:semiHidden="1" w:unhideWhenUsed="1"/>
    <w:lsdException w:name="index 5" w:semiHidden="1" w:unhideWhenUsed="1"/>
    <w:lsdException w:name="List Continue" w:semiHidden="1" w:unhideWhenUsed="1"/>
    <w:lsdException w:name="Salutation" w:semiHidden="1" w:unhideWhenUsed="1"/>
    <w:lsdException w:name="List Number 3" w:semiHidden="1" w:unhideWhenUsed="1"/>
    <w:lsdException w:name="List Number 5" w:semiHidden="1" w:unhideWhenUsed="1"/>
    <w:lsdException w:name="footnote reference" w:semiHidden="1" w:unhideWhenUsed="1"/>
    <w:lsdException w:name="List 2" w:semiHidden="1" w:unhideWhenUsed="1"/>
    <w:lsdException w:name="toc 7" w:uiPriority="39" w:semiHidden="1" w:unhideWhenUsed="1"/>
    <w:lsdException w:name="index 8" w:semiHidden="1" w:unhideWhenUsed="1"/>
    <w:lsdException w:name="Body Text First Indent 2" w:semiHidden="1" w:unhideWhenUsed="1"/>
    <w:lsdException w:name="toc 8" w:uiPriority="39" w:semiHidden="1" w:unhideWhenUsed="1"/>
    <w:lsdException w:name="Note Heading" w:semiHidden="1" w:unhideWhenUsed="1"/>
    <w:lsdException w:name="toc 4" w:uiPriority="39" w:semiHidden="1" w:unhideWhenUsed="1"/>
    <w:lsdException w:name="index heading" w:semiHidden="1" w:unhideWhenUsed="1"/>
    <w:lsdException w:name="Block Text" w:semiHidden="1" w:unhideWhenUsed="1"/>
    <w:lsdException w:name="List Number" w:semiHidden="1" w:unhideWhenUsed="1"/>
    <w:lsdException w:name="annotation text" w:semiHidden="1" w:unhideWhenUsed="1"/>
    <w:lsdException w:name="FollowedHyperlink" w:semiHidden="1" w:unhideWhenUsed="1"/>
    <w:lsdException w:name="Normal" w:uiPriority="0" w:qFormat="1"/>
    <w:lsdException w:name="Body Text Indent" w:semiHidden="1" w:unhideWhenUsed="1"/>
    <w:lsdException w:name="footer" w:semiHidden="1" w:unhideWhenUsed="1"/>
    <w:lsdException w:name="endnote reference" w:semiHidden="1" w:unhideWhenUsed="1"/>
    <w:lsdException w:name="toc 1" w:uiPriority="39" w:semiHidden="1" w:unhideWhenUsed="1"/>
    <w:lsdException w:name="Body Text First Indent" w:semiHidden="1" w:unhideWhenUsed="1"/>
    <w:lsdException w:name="heading 2" w:uiPriority="9" w:semiHidden="1" w:unhideWhenUsed="1" w:qFormat="1"/>
    <w:lsdException w:name="Default Paragraph Font" w:uiPriority="1" w:semiHidden="1" w:unhideWhenUsed="1"/>
    <w:lsdException w:name="heading 9" w:uiPriority="9" w:semiHidden="1" w:unhideWhenUsed="1" w:qFormat="1"/>
    <w:lsdException w:name="heading 3" w:uiPriority="9" w:semiHidden="1" w:unhideWhenUsed="1" w:qFormat="1"/>
    <w:lsdException w:name="List 4" w:semiHidden="1" w:unhideWhenUsed="1"/>
    <w:lsdException w:name="List Continue 3" w:semiHidden="1" w:unhideWhenUsed="1"/>
    <w:lsdException w:name="Body Text" w:semiHidden="1" w:unhideWhenUsed="1"/>
    <w:lsdException w:name="List Continue 5" w:semiHidden="1" w:unhideWhenUsed="1"/>
    <w:lsdException w:name="page number" w:semiHidden="1" w:unhideWhenUsed="1"/>
    <w:lsdException w:name="toc 5" w:uiPriority="39" w:semiHidden="1" w:unhideWhenUsed="1"/>
    <w:lsdException w:name="Body Text 2" w:semiHidden="1" w:unhideWhenUsed="1"/>
    <w:lsdException w:name="Date" w:semiHidden="1" w:unhideWhenUsed="1"/>
    <w:lsdException w:name="List Bullet" w:semiHidden="1" w:unhideWhenUsed="1"/>
    <w:lsdException w:name="Strong" w:uiPriority="22" w:qFormat="1"/>
    <w:lsdException w:name="List Continue 2" w:semiHidden="1" w:unhideWhenUsed="1"/>
    <w:lsdException w:name="Normal Indent" w:semiHidden="1" w:unhideWhenUsed="1"/>
    <w:lsdException w:name="endnote text" w:semiHidden="1" w:unhideWhenUsed="1"/>
    <w:lsdException w:name="toa heading" w:semiHidden="1" w:unhideWhenUsed="1"/>
    <w:lsdException w:name="footnote text" w:semiHidden="1" w:unhideWhenUsed="1"/>
    <w:lsdException w:name="heading 5" w:uiPriority="9" w:semiHidden="1" w:unhideWhenUsed="1" w:qFormat="1"/>
    <w:lsdException w:name="caption" w:uiPriority="35" w:semiHidden="1" w:unhideWhenUsed="1" w:qFormat="1"/>
    <w:lsdException w:name="Body Text Indent 2" w:semiHidden="1" w:unhideWhenUsed="1"/>
    <w:lsdException w:name="List Bullet 4" w:semiHidden="1" w:unhideWhenUsed="1"/>
    <w:lsdException w:name="toc 9" w:uiPriority="39" w:semiHidden="1" w:unhideWhenUsed="1"/>
    <w:lsdException w:name="List 5" w:semiHidden="1" w:unhideWhenUsed="1"/>
    <w:lsdException w:name="List Number 4" w:semiHidden="1" w:unhideWhenUsed="1"/>
    <w:lsdException w:name="index 2" w:semiHidden="1" w:unhideWhenUsed="1"/>
    <w:lsdException w:name="Message Header" w:semiHidden="1" w:unhideWhenUsed="1"/>
    <w:lsdException w:name="envelope return" w:semiHidden="1" w:unhideWhenUsed="1"/>
    <w:lsdException w:name="Hyperlink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List Bullet 3" w:semiHidden="1" w:unhideWhenUsed="1"/>
    <w:lsdException w:name="header" w:semiHidden="1" w:unhideWhenUsed="1"/>
    <w:lsdException w:name="table of figures" w:semiHidden="1" w:unhideWhenUsed="1"/>
    <w:lsdException w:name="envelope address" w:semiHidden="1" w:unhideWhenUsed="1"/>
    <w:lsdException w:name="List Bullet 5" w:semiHidden="1" w:unhideWhenUsed="1"/>
    <w:lsdException w:name="Subtitle" w:uiPriority="11" w:qFormat="1"/>
    <w:lsdException w:name="heading 1" w:uiPriority="9" w:qFormat="1"/>
    <w:lsdException w:name="toc 6" w:uiPriority="39" w:semiHidden="1" w:unhideWhenUsed="1"/>
    <w:lsdException w:name="index 7" w:semiHidden="1" w:unhideWhenUsed="1"/>
    <w:lsdException w:name="toc 3" w:uiPriority="39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2026-10-20T14:46:52Z</dcterms:created>
  <dcterms:modified xsi:type="dcterms:W3CDTF">2026-10-20T14:46:52Z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"01a1580f13d57c189822838794d2b5f3", "ReservedCode1": "", "ContentPropagator": "00119111010856365494821B355", "PropagateID": "01a1580f13d57c189822838794d2b5f3", "ReservedCode2": ""}}</vt:lpwstr>
  </property>
</Properties>
</file>