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15B"/>
          <w:sz w:val="28"/>
          <w:szCs w:val="28"/>
        </w:rPr>
        <w:t xml:space="preserve">Attorney brief: two payment options added to the Terms of Sale</w:t>
      </w:r>
    </w:p>
    <w:p>
      <w:pPr>
        <w:spacing w:after="100"/>
        <w:rPr>
          <w:color w:val="5D5A78"/>
          <w:sz w:val="18"/>
          <w:szCs w:val="18"/>
        </w:rPr>
      </w:pPr>
      <w:r>
        <w:rPr>
          <w:rFonts w:ascii="Calibri" w:cs="Calibri" w:eastAsia="Calibri" w:hAnsi="Calibri"/>
          <w:color w:val="5D5A78"/>
          <w:sz w:val="18"/>
          <w:szCs w:val="18"/>
        </w:rPr>
        <w:t xml:space="preserve">Sacred Kaleidoscope Community LLC (LifeCharter Command Suite) · Prepared October 10, 2026 · Terms page: lccommandsuite.com/legal/terms-of-sale</w:t>
      </w:r>
    </w:p>
    <w:p>
      <w:pPr>
        <w:pBdr>
          <w:bottom w:val="single" w:color="B8923F" w:sz="4" w:space="2"/>
        </w:pBdr>
        <w:spacing w:after="60" w:before="140"/>
      </w:pPr>
      <w:r>
        <w:rPr>
          <w:rFonts w:ascii="Calibri" w:cs="Calibri" w:eastAsia="Calibri" w:hAnsi="Calibri"/>
          <w:b/>
          <w:bCs/>
          <w:color w:val="1F315B"/>
          <w:sz w:val="22"/>
          <w:szCs w:val="22"/>
        </w:rPr>
        <w:t xml:space="preserve">What we are asking</w:t>
      </w:r>
    </w:p>
    <w:p>
      <w:pPr>
        <w:spacing w:after="100"/>
      </w:pPr>
      <w:r>
        <w:rPr>
          <w:rFonts w:ascii="Calibri" w:cs="Calibri" w:eastAsia="Calibri" w:hAnsi="Calibri"/>
          <w:sz w:val="20"/>
          <w:szCs w:val="20"/>
        </w:rPr>
        <w:t xml:space="preserve">Please review Sections 3.1(b) and 3.6 of the Terms of Sale (and how they fit with Sections 3.5, 4 and 5) for enforceability and clarity before they are used with more than a handful of clients.</w:t>
      </w:r>
    </w:p>
    <w:p>
      <w:pPr>
        <w:pBdr>
          <w:bottom w:val="single" w:color="B8923F" w:sz="4" w:space="2"/>
        </w:pBdr>
        <w:spacing w:after="60" w:before="140"/>
      </w:pPr>
      <w:r>
        <w:rPr>
          <w:rFonts w:ascii="Calibri" w:cs="Calibri" w:eastAsia="Calibri" w:hAnsi="Calibri"/>
          <w:b/>
          <w:bCs/>
          <w:color w:val="1F315B"/>
          <w:sz w:val="22"/>
          <w:szCs w:val="22"/>
        </w:rPr>
        <w:t xml:space="preserve">Background</w:t>
      </w:r>
    </w:p>
    <w:p>
      <w:pPr>
        <w:spacing w:after="100"/>
      </w:pPr>
      <w:r>
        <w:rPr>
          <w:rFonts w:ascii="Calibri" w:cs="Calibri" w:eastAsia="Calibri" w:hAnsi="Calibri"/>
          <w:sz w:val="20"/>
          <w:szCs w:val="20"/>
        </w:rPr>
        <w:t xml:space="preserve">Command Suite is sold in three tiers. The standard structure is a one-time Implementation Fee plus a Monthly Fee that begins about 30 days later, with a 12-month "Year-1 Term" (Section 4), an early-termination fee on cancellation inside that term, and no refunds once implementation work has begun (Section 5).</w:t>
      </w:r>
    </w:p>
    <w:p>
      <w:pPr>
        <w:pBdr>
          <w:bottom w:val="single" w:color="B8923F" w:sz="4" w:space="2"/>
        </w:pBdr>
        <w:spacing w:after="60" w:before="140"/>
      </w:pPr>
      <w:r>
        <w:rPr>
          <w:rFonts w:ascii="Calibri" w:cs="Calibri" w:eastAsia="Calibri" w:hAnsi="Calibri"/>
          <w:b/>
          <w:bCs/>
          <w:color w:val="1F315B"/>
          <w:sz w:val="22"/>
          <w:szCs w:val="22"/>
        </w:rPr>
        <w:t xml:space="preserve">Change 1: two-payment Implementation Fee (Section 3.1(b))</w:t>
      </w:r>
    </w:p>
    <w:p>
      <w:pPr>
        <w:pStyle w:val="ListParagraph"/>
        <w:numPr>
          <w:ilvl w:val="0"/>
          <w:numId w:val="2"/>
        </w:numPr>
        <w:spacing w:after="60"/>
      </w:pPr>
      <w:r>
        <w:rPr>
          <w:rFonts w:ascii="Calibri" w:cs="Calibri" w:eastAsia="Calibri" w:hAnsi="Calibri"/>
          <w:sz w:val="20"/>
          <w:szCs w:val="20"/>
        </w:rPr>
        <w:t xml:space="preserve">The fee may be paid in two equal halves: 50% at purchase and 50% about 30 days later, charged automatically to the card on file.</w:t>
      </w:r>
    </w:p>
    <w:p>
      <w:pPr>
        <w:pStyle w:val="ListParagraph"/>
        <w:numPr>
          <w:ilvl w:val="0"/>
          <w:numId w:val="2"/>
        </w:numPr>
        <w:spacing w:after="60"/>
      </w:pPr>
      <w:r>
        <w:rPr>
          <w:rFonts w:ascii="Calibri" w:cs="Calibri" w:eastAsia="Calibri" w:hAnsi="Calibri"/>
          <w:sz w:val="20"/>
          <w:szCs w:val="20"/>
        </w:rPr>
        <w:t xml:space="preserve">It is an exception, not the lead offer: the sales team offers it only when comfortable. The client must tick an acceptance box at checkout.</w:t>
      </w:r>
    </w:p>
    <w:p>
      <w:pPr>
        <w:pStyle w:val="ListParagraph"/>
        <w:numPr>
          <w:ilvl w:val="0"/>
          <w:numId w:val="2"/>
        </w:numPr>
        <w:spacing w:after="60"/>
      </w:pPr>
      <w:r>
        <w:rPr>
          <w:rFonts w:ascii="Calibri" w:cs="Calibri" w:eastAsia="Calibri" w:hAnsi="Calibri"/>
          <w:sz w:val="20"/>
          <w:szCs w:val="20"/>
        </w:rPr>
        <w:t xml:space="preserve">The second half is non-refundable on the same terms as the first, and the client stays responsible for it if the agreement ends before it is charged.</w:t>
      </w:r>
    </w:p>
    <w:p>
      <w:pPr>
        <w:pStyle w:val="ListParagraph"/>
        <w:numPr>
          <w:ilvl w:val="0"/>
          <w:numId w:val="2"/>
        </w:numPr>
        <w:spacing w:after="60"/>
      </w:pPr>
      <w:r>
        <w:rPr>
          <w:rFonts w:ascii="Calibri" w:cs="Calibri" w:eastAsia="Calibri" w:hAnsi="Calibri"/>
          <w:sz w:val="20"/>
          <w:szCs w:val="20"/>
        </w:rPr>
        <w:t xml:space="preserve">Mechanics: Stripe Checkout charges the first half and creates a pending invoice item for the second half, which is collected automatically on the next invoice.</w:t>
      </w:r>
    </w:p>
    <w:p>
      <w:pPr>
        <w:pBdr>
          <w:bottom w:val="single" w:color="B8923F" w:sz="4" w:space="2"/>
        </w:pBdr>
        <w:spacing w:after="60" w:before="140"/>
      </w:pPr>
      <w:r>
        <w:rPr>
          <w:rFonts w:ascii="Calibri" w:cs="Calibri" w:eastAsia="Calibri" w:hAnsi="Calibri"/>
          <w:b/>
          <w:bCs/>
          <w:color w:val="1F315B"/>
          <w:sz w:val="22"/>
          <w:szCs w:val="22"/>
        </w:rPr>
        <w:t xml:space="preserve">Change 2: annual pay-in-full option (Section 3.6)</w:t>
      </w:r>
    </w:p>
    <w:p>
      <w:pPr>
        <w:pStyle w:val="ListParagraph"/>
        <w:numPr>
          <w:ilvl w:val="0"/>
          <w:numId w:val="2"/>
        </w:numPr>
        <w:spacing w:after="60"/>
      </w:pPr>
      <w:r>
        <w:rPr>
          <w:rFonts w:ascii="Calibri" w:cs="Calibri" w:eastAsia="Calibri" w:hAnsi="Calibri"/>
          <w:sz w:val="20"/>
          <w:szCs w:val="20"/>
        </w:rPr>
        <w:t xml:space="preserve">A single discounted payment replaces the Implementation Fee and the first 12 monthly fees: Starter $5,000, Growth $7,000, VIP $13,500.</w:t>
      </w:r>
    </w:p>
    <w:p>
      <w:pPr>
        <w:pStyle w:val="ListParagraph"/>
        <w:numPr>
          <w:ilvl w:val="0"/>
          <w:numId w:val="2"/>
        </w:numPr>
        <w:spacing w:after="60"/>
      </w:pPr>
      <w:r>
        <w:rPr>
          <w:rFonts w:ascii="Calibri" w:cs="Calibri" w:eastAsia="Calibri" w:hAnsi="Calibri"/>
          <w:sz w:val="20"/>
          <w:szCs w:val="20"/>
        </w:rPr>
        <w:t xml:space="preserve">Non-refundable on the same terms as Section 5; the alumni credit (3.5, $500) reduces it. The Year-1 Term runs 12 months from purchase and no monthly fee is charged during it; monthly fees then start the next day and continue month to month (4.3).</w:t>
      </w:r>
    </w:p>
    <w:p>
      <w:pPr>
        <w:pStyle w:val="ListParagraph"/>
        <w:numPr>
          <w:ilvl w:val="0"/>
          <w:numId w:val="2"/>
        </w:numPr>
        <w:spacing w:after="60"/>
      </w:pPr>
      <w:r>
        <w:rPr>
          <w:rFonts w:ascii="Calibri" w:cs="Calibri" w:eastAsia="Calibri" w:hAnsi="Calibri"/>
          <w:sz w:val="20"/>
          <w:szCs w:val="20"/>
        </w:rPr>
        <w:t xml:space="preserve">Mechanics: Stripe Checkout charges the one-time amount and starts the monthly subscription with a 365-day trial, so the monthly fee begins after the 12 months.</w:t>
      </w:r>
    </w:p>
    <w:p>
      <w:pPr>
        <w:pBdr>
          <w:bottom w:val="single" w:color="B8923F" w:sz="4" w:space="2"/>
        </w:pBdr>
        <w:spacing w:after="60" w:before="140"/>
      </w:pPr>
      <w:r>
        <w:rPr>
          <w:rFonts w:ascii="Calibri" w:cs="Calibri" w:eastAsia="Calibri" w:hAnsi="Calibri"/>
          <w:b/>
          <w:bCs/>
          <w:color w:val="1F315B"/>
          <w:sz w:val="22"/>
          <w:szCs w:val="22"/>
        </w:rPr>
        <w:t xml:space="preserve">Questions for counsel</w:t>
      </w:r>
    </w:p>
    <w:p>
      <w:pPr>
        <w:pStyle w:val="ListParagraph"/>
        <w:numPr>
          <w:ilvl w:val="0"/>
          <w:numId w:val="2"/>
        </w:numPr>
        <w:spacing w:after="60"/>
      </w:pPr>
      <w:r>
        <w:rPr>
          <w:rFonts w:ascii="Calibri" w:cs="Calibri" w:eastAsia="Calibri" w:hAnsi="Calibri"/>
          <w:sz w:val="20"/>
          <w:szCs w:val="20"/>
        </w:rPr>
        <w:t xml:space="preserve">Is the non-refundable language for the second payment (3.1(b)) enforceable as drafted, particularly if the client disputes the charge or the relationship ends in the first 30 days?</w:t>
      </w:r>
    </w:p>
    <w:p>
      <w:pPr>
        <w:pStyle w:val="ListParagraph"/>
        <w:numPr>
          <w:ilvl w:val="0"/>
          <w:numId w:val="2"/>
        </w:numPr>
        <w:spacing w:after="60"/>
      </w:pPr>
      <w:r>
        <w:rPr>
          <w:rFonts w:ascii="Calibri" w:cs="Calibri" w:eastAsia="Calibri" w:hAnsi="Calibri"/>
          <w:sz w:val="20"/>
          <w:szCs w:val="20"/>
        </w:rPr>
        <w:t xml:space="preserve">For the annual option, does 3.6 clearly handle an early exit (Section 4.2 refers to monthly fees that are never charged in a prepaid year), a downgrade, or a request for a prorated refund? Should it say so expressly?</w:t>
      </w:r>
    </w:p>
    <w:p>
      <w:pPr>
        <w:pStyle w:val="ListParagraph"/>
        <w:numPr>
          <w:ilvl w:val="0"/>
          <w:numId w:val="2"/>
        </w:numPr>
        <w:spacing w:after="60"/>
      </w:pPr>
      <w:r>
        <w:rPr>
          <w:rFonts w:ascii="Calibri" w:cs="Calibri" w:eastAsia="Calibri" w:hAnsi="Calibri"/>
          <w:sz w:val="20"/>
          <w:szCs w:val="20"/>
        </w:rPr>
        <w:t xml:space="preserve">Are the automatic-charge authorization (3.3) and the checkout acceptance line adequate for a business-to-business client in Colorado, and is any additional disclosure needed for the 365-day trial that converts to monthly billing?</w:t>
      </w:r>
    </w:p>
    <w:p>
      <w:pPr>
        <w:pStyle w:val="ListParagraph"/>
        <w:numPr>
          <w:ilvl w:val="0"/>
          <w:numId w:val="2"/>
        </w:numPr>
        <w:spacing w:after="60"/>
      </w:pPr>
      <w:r>
        <w:rPr>
          <w:rFonts w:ascii="Calibri" w:cs="Calibri" w:eastAsia="Calibri" w:hAnsi="Calibri"/>
          <w:sz w:val="20"/>
          <w:szCs w:val="20"/>
        </w:rPr>
        <w:t xml:space="preserve">Section 13 says material changes are communicated to active clients by email and continued use is acceptance. Is that sufficient for clients who bought under the earlier text, or should we collect fresh acceptance?</w:t>
      </w:r>
    </w:p>
    <w:p>
      <w:pPr>
        <w:pStyle w:val="ListParagraph"/>
        <w:numPr>
          <w:ilvl w:val="0"/>
          <w:numId w:val="2"/>
        </w:numPr>
        <w:spacing w:after="60"/>
      </w:pPr>
      <w:r>
        <w:rPr>
          <w:rFonts w:ascii="Calibri" w:cs="Calibri" w:eastAsia="Calibri" w:hAnsi="Calibri"/>
          <w:sz w:val="20"/>
          <w:szCs w:val="20"/>
        </w:rPr>
        <w:t xml:space="preserve">Does the early-termination fee in 4.2 (greater of $500 or 50% of remaining monthly fees) remain defensible as a reasonable estimate rather than a penalty when combined with a non-refundable implementation fee?</w:t>
      </w:r>
    </w:p>
    <w:p>
      <w:pPr>
        <w:pBdr>
          <w:bottom w:val="single" w:color="B8923F" w:sz="4" w:space="2"/>
        </w:pBdr>
        <w:spacing w:after="60" w:before="140"/>
      </w:pPr>
      <w:r>
        <w:rPr>
          <w:rFonts w:ascii="Calibri" w:cs="Calibri" w:eastAsia="Calibri" w:hAnsi="Calibri"/>
          <w:b/>
          <w:bCs/>
          <w:color w:val="1F315B"/>
          <w:sz w:val="22"/>
          <w:szCs w:val="22"/>
        </w:rPr>
        <w:t xml:space="preserve">Other facts that may matter</w:t>
      </w:r>
    </w:p>
    <w:p>
      <w:pPr>
        <w:pStyle w:val="ListParagraph"/>
        <w:numPr>
          <w:ilvl w:val="0"/>
          <w:numId w:val="2"/>
        </w:numPr>
        <w:spacing w:after="60"/>
      </w:pPr>
      <w:r>
        <w:rPr>
          <w:rFonts w:ascii="Calibri" w:cs="Calibri" w:eastAsia="Calibri" w:hAnsi="Calibri"/>
          <w:sz w:val="20"/>
          <w:szCs w:val="20"/>
        </w:rPr>
        <w:t xml:space="preserve">Affiliate commissions are paid on the Implementation Fee only (not on monthly fees); this is in the affiliate agreement draft, not the Terms.</w:t>
      </w:r>
    </w:p>
    <w:p>
      <w:pPr>
        <w:pStyle w:val="ListParagraph"/>
        <w:numPr>
          <w:ilvl w:val="0"/>
          <w:numId w:val="2"/>
        </w:numPr>
        <w:spacing w:after="60"/>
      </w:pPr>
      <w:r>
        <w:rPr>
          <w:rFonts w:ascii="Calibri" w:cs="Calibri" w:eastAsia="Calibri" w:hAnsi="Calibri"/>
          <w:sz w:val="20"/>
          <w:szCs w:val="20"/>
        </w:rPr>
        <w:t xml:space="preserve">The Terms show "Effective" and "Last updated" dates and are re-stamped on every edit.</w:t>
      </w:r>
    </w:p>
    <w:p>
      <w:pPr>
        <w:pStyle w:val="ListParagraph"/>
        <w:numPr>
          <w:ilvl w:val="0"/>
          <w:numId w:val="2"/>
        </w:numPr>
        <w:spacing w:after="60"/>
      </w:pPr>
      <w:r>
        <w:rPr>
          <w:rFonts w:ascii="Calibri" w:cs="Calibri" w:eastAsia="Calibri" w:hAnsi="Calibri"/>
          <w:sz w:val="20"/>
          <w:szCs w:val="20"/>
        </w:rPr>
        <w:t xml:space="preserve">No active clients have bought under 3.1(b) or 3.6 yet; the options are in Stripe test mode while payments are verified.</w:t>
      </w:r>
    </w:p>
    <w:sectPr>
      <w:pgSz w:w="12240" w:h="15840" w:orient="portrait"/>
      <w:pgMar w:top="900" w:right="1100" w:bottom="8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2026-10-10T20:27:39.691Z</dcterms:created>
  <dcterms:modified xsi:type="dcterms:W3CDTF">2026-10-10T20:27:39.692Z</dcterms:modified>
</cp:coreProperties>
</file>

<file path=docProps/custom.xml><?xml version="1.0" encoding="utf-8"?>
<Properties xmlns="http://schemas.openxmlformats.org/officeDocument/2006/custom-properties" xmlns:vt="http://schemas.openxmlformats.org/officeDocument/2006/docPropsVTypes"/>
</file>