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28"/>
          <w:szCs w:val="28"/>
        </w:rPr>
      </w:pPr>
    </w:p>
    <w:p>
      <w:pPr>
        <w:jc w:val="center"/>
        <w:rPr>
          <w:b/>
          <w:sz w:val="28"/>
          <w:szCs w:val="28"/>
        </w:rPr>
      </w:pPr>
    </w:p>
    <w:p>
      <w:pPr>
        <w:jc w:val="center"/>
        <w:rPr>
          <w:b/>
          <w:sz w:val="28"/>
          <w:szCs w:val="28"/>
        </w:rPr>
      </w:pPr>
    </w:p>
    <w:p>
      <w:pPr>
        <w:spacing w:line="360" w:lineRule="auto"/>
        <w:jc w:val="center"/>
        <w:rPr>
          <w:rFonts w:hint="default"/>
          <w:b/>
          <w:sz w:val="48"/>
          <w:szCs w:val="28"/>
          <w:lang w:val="en-US" w:eastAsia="zh-CN"/>
        </w:rPr>
      </w:pPr>
      <w:r>
        <w:rPr>
          <w:rFonts w:hint="eastAsia"/>
          <w:b/>
          <w:sz w:val="48"/>
          <w:szCs w:val="28"/>
          <w:lang w:val="en-US" w:eastAsia="zh-CN"/>
        </w:rPr>
        <w:t>智能病区管理系统</w:t>
      </w:r>
    </w:p>
    <w:p>
      <w:pPr>
        <w:spacing w:line="360" w:lineRule="auto"/>
        <w:jc w:val="center"/>
        <w:rPr>
          <w:b/>
          <w:sz w:val="48"/>
          <w:szCs w:val="28"/>
        </w:rPr>
      </w:pPr>
      <w:r>
        <w:rPr>
          <w:rFonts w:hint="eastAsia"/>
          <w:b/>
          <w:sz w:val="48"/>
          <w:szCs w:val="28"/>
        </w:rPr>
        <w:t>现状</w:t>
      </w:r>
      <w:r>
        <w:rPr>
          <w:b/>
          <w:sz w:val="48"/>
          <w:szCs w:val="28"/>
        </w:rPr>
        <w:t>及需求报告</w:t>
      </w:r>
    </w:p>
    <w:p>
      <w:pPr>
        <w:pStyle w:val="18"/>
        <w:numPr>
          <w:ilvl w:val="0"/>
          <w:numId w:val="0"/>
        </w:numPr>
        <w:spacing w:line="360" w:lineRule="auto"/>
        <w:ind w:leftChars="0"/>
        <w:jc w:val="both"/>
        <w:rPr>
          <w:b/>
          <w:sz w:val="32"/>
          <w:szCs w:val="28"/>
        </w:rPr>
      </w:pPr>
    </w:p>
    <w:p>
      <w:pPr>
        <w:spacing w:line="360" w:lineRule="auto"/>
        <w:jc w:val="center"/>
        <w:rPr>
          <w:b/>
          <w:sz w:val="32"/>
          <w:szCs w:val="28"/>
        </w:rPr>
      </w:pPr>
    </w:p>
    <w:p>
      <w:pPr>
        <w:spacing w:line="360" w:lineRule="auto"/>
        <w:jc w:val="center"/>
        <w:rPr>
          <w:b/>
          <w:sz w:val="32"/>
          <w:szCs w:val="28"/>
        </w:rPr>
      </w:pPr>
    </w:p>
    <w:p>
      <w:pPr>
        <w:spacing w:line="360" w:lineRule="auto"/>
        <w:jc w:val="center"/>
        <w:rPr>
          <w:b/>
          <w:sz w:val="32"/>
          <w:szCs w:val="28"/>
        </w:rPr>
      </w:pPr>
    </w:p>
    <w:p>
      <w:pPr>
        <w:spacing w:line="360" w:lineRule="auto"/>
        <w:jc w:val="center"/>
        <w:rPr>
          <w:b/>
          <w:sz w:val="32"/>
          <w:szCs w:val="28"/>
        </w:rPr>
      </w:pPr>
    </w:p>
    <w:p>
      <w:pPr>
        <w:spacing w:line="360" w:lineRule="auto"/>
        <w:jc w:val="center"/>
        <w:rPr>
          <w:b/>
          <w:sz w:val="32"/>
          <w:szCs w:val="28"/>
        </w:rPr>
      </w:pPr>
    </w:p>
    <w:p>
      <w:pPr>
        <w:spacing w:line="360" w:lineRule="auto"/>
        <w:jc w:val="center"/>
        <w:rPr>
          <w:b/>
          <w:sz w:val="32"/>
          <w:szCs w:val="28"/>
        </w:rPr>
      </w:pPr>
    </w:p>
    <w:p>
      <w:pPr>
        <w:spacing w:line="360" w:lineRule="auto"/>
        <w:jc w:val="center"/>
        <w:rPr>
          <w:b/>
          <w:sz w:val="32"/>
          <w:szCs w:val="28"/>
        </w:rPr>
      </w:pPr>
    </w:p>
    <w:p>
      <w:pPr>
        <w:spacing w:line="360" w:lineRule="auto"/>
        <w:jc w:val="center"/>
        <w:rPr>
          <w:b/>
          <w:sz w:val="32"/>
          <w:szCs w:val="28"/>
        </w:rPr>
      </w:pPr>
    </w:p>
    <w:p>
      <w:pPr>
        <w:spacing w:line="360" w:lineRule="auto"/>
        <w:jc w:val="center"/>
        <w:rPr>
          <w:b/>
          <w:sz w:val="32"/>
          <w:szCs w:val="28"/>
        </w:rPr>
      </w:pPr>
    </w:p>
    <w:p>
      <w:pPr>
        <w:spacing w:line="360" w:lineRule="auto"/>
        <w:jc w:val="center"/>
        <w:rPr>
          <w:rFonts w:hint="default" w:eastAsia="宋体"/>
          <w:sz w:val="32"/>
          <w:szCs w:val="28"/>
          <w:lang w:val="en-US" w:eastAsia="zh-CN"/>
        </w:rPr>
      </w:pPr>
      <w:r>
        <w:rPr>
          <w:rFonts w:hint="eastAsia" w:eastAsia="宋体"/>
          <w:sz w:val="32"/>
          <w:szCs w:val="28"/>
          <w:lang w:val="en-US" w:eastAsia="zh-CN"/>
        </w:rPr>
        <w:t>旭辉卓越</w:t>
      </w:r>
    </w:p>
    <w:p>
      <w:pPr>
        <w:spacing w:line="360" w:lineRule="auto"/>
        <w:jc w:val="center"/>
        <w:rPr>
          <w:sz w:val="32"/>
          <w:szCs w:val="28"/>
        </w:rPr>
      </w:pPr>
      <w:r>
        <w:rPr>
          <w:rFonts w:hint="eastAsia"/>
          <w:sz w:val="32"/>
          <w:szCs w:val="28"/>
        </w:rPr>
        <w:t>2</w:t>
      </w:r>
      <w:r>
        <w:rPr>
          <w:rFonts w:hint="eastAsia" w:eastAsia="宋体"/>
          <w:sz w:val="32"/>
          <w:szCs w:val="28"/>
          <w:lang w:val="en-US" w:eastAsia="zh-CN"/>
        </w:rPr>
        <w:t>020</w:t>
      </w:r>
      <w:r>
        <w:rPr>
          <w:rFonts w:hint="eastAsia"/>
          <w:sz w:val="32"/>
          <w:szCs w:val="28"/>
        </w:rPr>
        <w:t>年</w:t>
      </w:r>
      <w:r>
        <w:rPr>
          <w:rFonts w:hint="eastAsia" w:eastAsia="宋体"/>
          <w:sz w:val="32"/>
          <w:szCs w:val="28"/>
          <w:lang w:val="en-US" w:eastAsia="zh-CN"/>
        </w:rPr>
        <w:t>5</w:t>
      </w:r>
      <w:r>
        <w:rPr>
          <w:rFonts w:hint="eastAsia"/>
          <w:sz w:val="32"/>
          <w:szCs w:val="28"/>
        </w:rPr>
        <w:t>月</w:t>
      </w:r>
    </w:p>
    <w:p>
      <w:pPr>
        <w:widowControl/>
        <w:jc w:val="left"/>
        <w:rPr>
          <w:sz w:val="32"/>
          <w:szCs w:val="28"/>
        </w:rPr>
      </w:pPr>
      <w:r>
        <w:rPr>
          <w:sz w:val="32"/>
          <w:szCs w:val="28"/>
        </w:rPr>
        <w:br w:type="page"/>
      </w:r>
    </w:p>
    <w:p>
      <w:pPr>
        <w:spacing w:line="360" w:lineRule="auto"/>
        <w:rPr>
          <w:rFonts w:ascii="黑体" w:hAnsi="黑体" w:eastAsia="黑体"/>
          <w:sz w:val="28"/>
          <w:szCs w:val="28"/>
        </w:rPr>
      </w:pPr>
    </w:p>
    <w:p>
      <w:pPr>
        <w:spacing w:line="360" w:lineRule="auto"/>
        <w:rPr>
          <w:rFonts w:ascii="宋体" w:hAnsi="宋体" w:eastAsia="宋体"/>
          <w:b/>
          <w:sz w:val="28"/>
          <w:szCs w:val="28"/>
        </w:rPr>
      </w:pPr>
      <w:r>
        <w:rPr>
          <w:rFonts w:hint="eastAsia" w:ascii="宋体" w:hAnsi="宋体" w:eastAsia="宋体"/>
          <w:b/>
          <w:sz w:val="28"/>
          <w:szCs w:val="28"/>
        </w:rPr>
        <w:t>更改记录</w:t>
      </w:r>
    </w:p>
    <w:tbl>
      <w:tblPr>
        <w:tblStyle w:val="9"/>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5"/>
        <w:gridCol w:w="961"/>
        <w:gridCol w:w="1265"/>
        <w:gridCol w:w="4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035" w:type="dxa"/>
            <w:vAlign w:val="center"/>
          </w:tcPr>
          <w:p>
            <w:pPr>
              <w:jc w:val="center"/>
              <w:rPr>
                <w:rFonts w:ascii="宋体" w:hAnsi="宋体" w:eastAsia="宋体"/>
                <w:b/>
              </w:rPr>
            </w:pPr>
            <w:r>
              <w:rPr>
                <w:rFonts w:hint="eastAsia" w:ascii="宋体" w:hAnsi="宋体" w:eastAsia="宋体"/>
                <w:b/>
              </w:rPr>
              <w:t>日期</w:t>
            </w:r>
          </w:p>
        </w:tc>
        <w:tc>
          <w:tcPr>
            <w:tcW w:w="961" w:type="dxa"/>
            <w:vAlign w:val="center"/>
          </w:tcPr>
          <w:p>
            <w:pPr>
              <w:jc w:val="center"/>
              <w:rPr>
                <w:rFonts w:ascii="宋体" w:hAnsi="宋体" w:eastAsia="宋体"/>
                <w:b/>
              </w:rPr>
            </w:pPr>
            <w:r>
              <w:rPr>
                <w:rFonts w:hint="eastAsia" w:ascii="宋体" w:hAnsi="宋体" w:eastAsia="宋体"/>
                <w:b/>
              </w:rPr>
              <w:t>作者</w:t>
            </w:r>
          </w:p>
        </w:tc>
        <w:tc>
          <w:tcPr>
            <w:tcW w:w="1265" w:type="dxa"/>
            <w:vAlign w:val="center"/>
          </w:tcPr>
          <w:p>
            <w:pPr>
              <w:jc w:val="center"/>
              <w:rPr>
                <w:rFonts w:ascii="宋体" w:hAnsi="宋体" w:eastAsia="宋体"/>
                <w:b/>
              </w:rPr>
            </w:pPr>
            <w:r>
              <w:rPr>
                <w:rFonts w:hint="eastAsia" w:ascii="宋体" w:hAnsi="宋体" w:eastAsia="宋体"/>
                <w:b/>
              </w:rPr>
              <w:t>版本</w:t>
            </w:r>
          </w:p>
        </w:tc>
        <w:tc>
          <w:tcPr>
            <w:tcW w:w="4053" w:type="dxa"/>
            <w:vAlign w:val="center"/>
          </w:tcPr>
          <w:p>
            <w:pPr>
              <w:jc w:val="center"/>
              <w:rPr>
                <w:rFonts w:ascii="宋体" w:hAnsi="宋体" w:eastAsia="宋体"/>
                <w:b/>
              </w:rPr>
            </w:pPr>
            <w:r>
              <w:rPr>
                <w:rFonts w:hint="eastAsia" w:ascii="宋体" w:hAnsi="宋体" w:eastAsia="宋体"/>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035" w:type="dxa"/>
            <w:vAlign w:val="center"/>
          </w:tcPr>
          <w:p>
            <w:pPr>
              <w:jc w:val="center"/>
              <w:rPr>
                <w:rFonts w:hint="eastAsia" w:ascii="宋体" w:hAnsi="宋体" w:eastAsia="宋体"/>
                <w:lang w:val="en-US" w:eastAsia="zh-CN"/>
              </w:rPr>
            </w:pPr>
            <w:r>
              <w:rPr>
                <w:rFonts w:hint="eastAsia" w:ascii="宋体" w:hAnsi="宋体" w:eastAsia="宋体"/>
              </w:rPr>
              <w:t>20</w:t>
            </w:r>
            <w:r>
              <w:rPr>
                <w:rFonts w:hint="eastAsia" w:ascii="宋体" w:hAnsi="宋体" w:eastAsia="宋体"/>
                <w:lang w:val="en-US" w:eastAsia="zh-CN"/>
              </w:rPr>
              <w:t>20</w:t>
            </w:r>
            <w:r>
              <w:rPr>
                <w:rFonts w:hint="eastAsia" w:ascii="宋体" w:hAnsi="宋体" w:eastAsia="宋体"/>
              </w:rPr>
              <w:t>-</w:t>
            </w:r>
            <w:r>
              <w:rPr>
                <w:rFonts w:hint="eastAsia" w:ascii="宋体" w:hAnsi="宋体" w:eastAsia="宋体"/>
                <w:lang w:val="en-US" w:eastAsia="zh-CN"/>
              </w:rPr>
              <w:t>4</w:t>
            </w:r>
          </w:p>
        </w:tc>
        <w:tc>
          <w:tcPr>
            <w:tcW w:w="961" w:type="dxa"/>
            <w:vAlign w:val="center"/>
          </w:tcPr>
          <w:p>
            <w:pPr>
              <w:jc w:val="center"/>
              <w:rPr>
                <w:rFonts w:hint="default" w:ascii="宋体" w:hAnsi="宋体" w:eastAsia="宋体"/>
                <w:lang w:val="en-US" w:eastAsia="zh-CN"/>
              </w:rPr>
            </w:pPr>
            <w:r>
              <w:rPr>
                <w:rFonts w:hint="eastAsia" w:ascii="宋体" w:hAnsi="宋体" w:eastAsia="宋体"/>
                <w:lang w:val="en-US" w:eastAsia="zh-CN"/>
              </w:rPr>
              <w:t>吴园园</w:t>
            </w:r>
          </w:p>
        </w:tc>
        <w:tc>
          <w:tcPr>
            <w:tcW w:w="1265" w:type="dxa"/>
            <w:vAlign w:val="center"/>
          </w:tcPr>
          <w:p>
            <w:pPr>
              <w:spacing w:line="300" w:lineRule="exact"/>
              <w:jc w:val="center"/>
              <w:rPr>
                <w:rFonts w:ascii="宋体" w:hAnsi="宋体" w:eastAsia="宋体"/>
              </w:rPr>
            </w:pPr>
            <w:r>
              <w:rPr>
                <w:rFonts w:hint="eastAsia" w:ascii="宋体" w:hAnsi="宋体" w:eastAsia="宋体"/>
              </w:rPr>
              <w:t>初始</w:t>
            </w:r>
            <w:r>
              <w:rPr>
                <w:rFonts w:ascii="宋体" w:hAnsi="宋体" w:eastAsia="宋体"/>
              </w:rPr>
              <w:t>版本</w:t>
            </w:r>
          </w:p>
        </w:tc>
        <w:tc>
          <w:tcPr>
            <w:tcW w:w="4053" w:type="dxa"/>
            <w:vAlign w:val="center"/>
          </w:tcPr>
          <w:p>
            <w:pPr>
              <w:jc w:val="left"/>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035" w:type="dxa"/>
            <w:vAlign w:val="center"/>
          </w:tcPr>
          <w:p>
            <w:pPr>
              <w:jc w:val="center"/>
              <w:rPr>
                <w:rFonts w:ascii="宋体" w:hAnsi="宋体" w:eastAsia="宋体"/>
              </w:rPr>
            </w:pPr>
          </w:p>
        </w:tc>
        <w:tc>
          <w:tcPr>
            <w:tcW w:w="961" w:type="dxa"/>
            <w:vAlign w:val="center"/>
          </w:tcPr>
          <w:p>
            <w:pPr>
              <w:jc w:val="center"/>
              <w:rPr>
                <w:rFonts w:ascii="宋体" w:hAnsi="宋体" w:eastAsia="宋体"/>
              </w:rPr>
            </w:pPr>
          </w:p>
        </w:tc>
        <w:tc>
          <w:tcPr>
            <w:tcW w:w="1265" w:type="dxa"/>
            <w:vAlign w:val="center"/>
          </w:tcPr>
          <w:p>
            <w:pPr>
              <w:jc w:val="center"/>
              <w:rPr>
                <w:rFonts w:ascii="宋体" w:hAnsi="宋体" w:eastAsia="宋体"/>
              </w:rPr>
            </w:pPr>
          </w:p>
        </w:tc>
        <w:tc>
          <w:tcPr>
            <w:tcW w:w="4053" w:type="dxa"/>
            <w:vAlign w:val="center"/>
          </w:tcPr>
          <w:p>
            <w:pPr>
              <w:jc w:val="left"/>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035" w:type="dxa"/>
            <w:vAlign w:val="center"/>
          </w:tcPr>
          <w:p>
            <w:pPr>
              <w:jc w:val="center"/>
              <w:rPr>
                <w:rFonts w:ascii="宋体" w:hAnsi="宋体" w:eastAsia="宋体"/>
              </w:rPr>
            </w:pPr>
          </w:p>
        </w:tc>
        <w:tc>
          <w:tcPr>
            <w:tcW w:w="961" w:type="dxa"/>
            <w:vAlign w:val="center"/>
          </w:tcPr>
          <w:p>
            <w:pPr>
              <w:jc w:val="center"/>
              <w:rPr>
                <w:rFonts w:ascii="宋体" w:hAnsi="宋体" w:eastAsia="宋体"/>
              </w:rPr>
            </w:pPr>
          </w:p>
        </w:tc>
        <w:tc>
          <w:tcPr>
            <w:tcW w:w="1265" w:type="dxa"/>
            <w:vAlign w:val="center"/>
          </w:tcPr>
          <w:p>
            <w:pPr>
              <w:jc w:val="center"/>
              <w:rPr>
                <w:rFonts w:ascii="宋体" w:hAnsi="宋体" w:eastAsia="宋体"/>
              </w:rPr>
            </w:pPr>
          </w:p>
        </w:tc>
        <w:tc>
          <w:tcPr>
            <w:tcW w:w="4053" w:type="dxa"/>
            <w:vAlign w:val="center"/>
          </w:tcPr>
          <w:p>
            <w:pPr>
              <w:jc w:val="left"/>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035" w:type="dxa"/>
            <w:vAlign w:val="center"/>
          </w:tcPr>
          <w:p>
            <w:pPr>
              <w:jc w:val="center"/>
              <w:rPr>
                <w:rFonts w:ascii="宋体" w:hAnsi="宋体" w:eastAsia="宋体"/>
              </w:rPr>
            </w:pPr>
          </w:p>
        </w:tc>
        <w:tc>
          <w:tcPr>
            <w:tcW w:w="961" w:type="dxa"/>
            <w:vAlign w:val="center"/>
          </w:tcPr>
          <w:p>
            <w:pPr>
              <w:jc w:val="center"/>
              <w:rPr>
                <w:rFonts w:ascii="宋体" w:hAnsi="宋体" w:eastAsia="宋体"/>
              </w:rPr>
            </w:pPr>
          </w:p>
        </w:tc>
        <w:tc>
          <w:tcPr>
            <w:tcW w:w="1265" w:type="dxa"/>
            <w:vAlign w:val="center"/>
          </w:tcPr>
          <w:p>
            <w:pPr>
              <w:jc w:val="center"/>
              <w:rPr>
                <w:rFonts w:ascii="宋体" w:hAnsi="宋体" w:eastAsia="宋体"/>
              </w:rPr>
            </w:pPr>
          </w:p>
        </w:tc>
        <w:tc>
          <w:tcPr>
            <w:tcW w:w="4053" w:type="dxa"/>
            <w:vAlign w:val="center"/>
          </w:tcPr>
          <w:p>
            <w:pPr>
              <w:jc w:val="left"/>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035" w:type="dxa"/>
            <w:vAlign w:val="center"/>
          </w:tcPr>
          <w:p>
            <w:pPr>
              <w:jc w:val="center"/>
              <w:rPr>
                <w:rFonts w:ascii="宋体" w:hAnsi="宋体" w:eastAsia="宋体"/>
              </w:rPr>
            </w:pPr>
          </w:p>
        </w:tc>
        <w:tc>
          <w:tcPr>
            <w:tcW w:w="961" w:type="dxa"/>
            <w:vAlign w:val="center"/>
          </w:tcPr>
          <w:p>
            <w:pPr>
              <w:jc w:val="center"/>
              <w:rPr>
                <w:rFonts w:ascii="宋体" w:hAnsi="宋体" w:eastAsia="宋体"/>
              </w:rPr>
            </w:pPr>
          </w:p>
        </w:tc>
        <w:tc>
          <w:tcPr>
            <w:tcW w:w="1265" w:type="dxa"/>
            <w:vAlign w:val="center"/>
          </w:tcPr>
          <w:p>
            <w:pPr>
              <w:jc w:val="center"/>
              <w:rPr>
                <w:rFonts w:ascii="宋体" w:hAnsi="宋体" w:eastAsia="宋体"/>
              </w:rPr>
            </w:pPr>
          </w:p>
        </w:tc>
        <w:tc>
          <w:tcPr>
            <w:tcW w:w="4053" w:type="dxa"/>
            <w:vAlign w:val="center"/>
          </w:tcPr>
          <w:p>
            <w:pPr>
              <w:jc w:val="left"/>
              <w:rPr>
                <w:rFonts w:ascii="宋体" w:hAnsi="宋体" w:eastAsia="宋体"/>
              </w:rPr>
            </w:pPr>
          </w:p>
        </w:tc>
      </w:tr>
    </w:tbl>
    <w:p>
      <w:pPr>
        <w:spacing w:line="360" w:lineRule="auto"/>
        <w:rPr>
          <w:rFonts w:ascii="宋体" w:hAnsi="宋体" w:eastAsia="宋体"/>
          <w:sz w:val="28"/>
          <w:szCs w:val="28"/>
        </w:rPr>
      </w:pPr>
    </w:p>
    <w:p>
      <w:pPr>
        <w:spacing w:line="360" w:lineRule="auto"/>
        <w:jc w:val="center"/>
        <w:rPr>
          <w:rFonts w:ascii="宋体" w:hAnsi="宋体" w:eastAsia="宋体"/>
          <w:sz w:val="28"/>
          <w:szCs w:val="28"/>
        </w:rPr>
      </w:pPr>
    </w:p>
    <w:p>
      <w:pPr>
        <w:spacing w:line="360" w:lineRule="auto"/>
        <w:jc w:val="center"/>
        <w:rPr>
          <w:rFonts w:ascii="宋体" w:hAnsi="宋体" w:eastAsia="宋体"/>
          <w:sz w:val="28"/>
          <w:szCs w:val="28"/>
        </w:rPr>
      </w:pPr>
    </w:p>
    <w:p>
      <w:pPr>
        <w:spacing w:line="360" w:lineRule="auto"/>
        <w:rPr>
          <w:rFonts w:ascii="宋体" w:hAnsi="宋体" w:eastAsia="宋体"/>
          <w:b/>
          <w:sz w:val="28"/>
          <w:szCs w:val="28"/>
        </w:rPr>
      </w:pPr>
      <w:r>
        <w:rPr>
          <w:rFonts w:hint="eastAsia" w:ascii="宋体" w:hAnsi="宋体" w:eastAsia="宋体"/>
          <w:b/>
          <w:sz w:val="28"/>
          <w:szCs w:val="28"/>
        </w:rPr>
        <w:t>审阅</w:t>
      </w:r>
    </w:p>
    <w:tbl>
      <w:tblPr>
        <w:tblStyle w:val="9"/>
        <w:tblW w:w="7230"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1276"/>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jc w:val="center"/>
              <w:rPr>
                <w:rFonts w:ascii="宋体" w:hAnsi="宋体" w:eastAsia="宋体"/>
                <w:b/>
              </w:rPr>
            </w:pPr>
            <w:r>
              <w:rPr>
                <w:rFonts w:hint="eastAsia" w:ascii="宋体" w:hAnsi="宋体" w:eastAsia="宋体"/>
                <w:b/>
              </w:rPr>
              <w:t>姓名</w:t>
            </w:r>
          </w:p>
        </w:tc>
        <w:tc>
          <w:tcPr>
            <w:tcW w:w="1276" w:type="dxa"/>
          </w:tcPr>
          <w:p>
            <w:pPr>
              <w:spacing w:line="360" w:lineRule="auto"/>
              <w:jc w:val="center"/>
              <w:rPr>
                <w:rFonts w:ascii="宋体" w:hAnsi="宋体" w:eastAsia="宋体"/>
                <w:b/>
              </w:rPr>
            </w:pPr>
            <w:r>
              <w:rPr>
                <w:rFonts w:hint="eastAsia" w:ascii="宋体" w:hAnsi="宋体" w:eastAsia="宋体"/>
                <w:b/>
              </w:rPr>
              <w:t>日期</w:t>
            </w:r>
          </w:p>
        </w:tc>
        <w:tc>
          <w:tcPr>
            <w:tcW w:w="4536" w:type="dxa"/>
          </w:tcPr>
          <w:p>
            <w:pPr>
              <w:spacing w:line="360" w:lineRule="auto"/>
              <w:jc w:val="center"/>
              <w:rPr>
                <w:rFonts w:ascii="宋体" w:hAnsi="宋体" w:eastAsia="宋体"/>
                <w:b/>
              </w:rPr>
            </w:pPr>
            <w:r>
              <w:rPr>
                <w:rFonts w:hint="eastAsia" w:ascii="宋体" w:hAnsi="宋体" w:eastAsia="宋体"/>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jc w:val="left"/>
              <w:rPr>
                <w:rFonts w:ascii="宋体" w:hAnsi="宋体" w:eastAsia="宋体"/>
              </w:rPr>
            </w:pPr>
          </w:p>
        </w:tc>
        <w:tc>
          <w:tcPr>
            <w:tcW w:w="1276" w:type="dxa"/>
          </w:tcPr>
          <w:p>
            <w:pPr>
              <w:spacing w:line="360" w:lineRule="auto"/>
              <w:jc w:val="left"/>
              <w:rPr>
                <w:rFonts w:ascii="宋体" w:hAnsi="宋体" w:eastAsia="宋体"/>
              </w:rPr>
            </w:pPr>
          </w:p>
        </w:tc>
        <w:tc>
          <w:tcPr>
            <w:tcW w:w="4536" w:type="dxa"/>
          </w:tcPr>
          <w:p>
            <w:pPr>
              <w:spacing w:line="360" w:lineRule="auto"/>
              <w:jc w:val="left"/>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jc w:val="left"/>
              <w:rPr>
                <w:rFonts w:ascii="宋体" w:hAnsi="宋体" w:eastAsia="宋体"/>
              </w:rPr>
            </w:pPr>
          </w:p>
        </w:tc>
        <w:tc>
          <w:tcPr>
            <w:tcW w:w="1276" w:type="dxa"/>
          </w:tcPr>
          <w:p>
            <w:pPr>
              <w:spacing w:line="360" w:lineRule="auto"/>
              <w:jc w:val="left"/>
              <w:rPr>
                <w:rFonts w:ascii="宋体" w:hAnsi="宋体" w:eastAsia="宋体"/>
              </w:rPr>
            </w:pPr>
          </w:p>
        </w:tc>
        <w:tc>
          <w:tcPr>
            <w:tcW w:w="4536" w:type="dxa"/>
          </w:tcPr>
          <w:p>
            <w:pPr>
              <w:spacing w:line="360" w:lineRule="auto"/>
              <w:jc w:val="left"/>
              <w:rPr>
                <w:rFonts w:ascii="宋体" w:hAnsi="宋体" w:eastAsia="宋体"/>
              </w:rPr>
            </w:pPr>
          </w:p>
        </w:tc>
      </w:tr>
    </w:tbl>
    <w:p>
      <w:pPr>
        <w:widowControl/>
        <w:jc w:val="left"/>
        <w:rPr>
          <w:rFonts w:ascii="宋体" w:hAnsi="宋体" w:eastAsia="宋体"/>
          <w:b/>
          <w:bCs/>
          <w:kern w:val="44"/>
          <w:sz w:val="28"/>
          <w:szCs w:val="44"/>
        </w:rPr>
      </w:pPr>
      <w:r>
        <w:rPr>
          <w:rFonts w:ascii="宋体" w:hAnsi="宋体" w:eastAsia="宋体"/>
          <w:sz w:val="28"/>
        </w:rPr>
        <w:br w:type="page"/>
      </w:r>
    </w:p>
    <w:p>
      <w:pPr>
        <w:pStyle w:val="2"/>
        <w:numPr>
          <w:ilvl w:val="0"/>
          <w:numId w:val="1"/>
        </w:numPr>
        <w:spacing w:line="360" w:lineRule="auto"/>
        <w:rPr>
          <w:rFonts w:ascii="宋体" w:hAnsi="宋体" w:eastAsia="宋体"/>
          <w:sz w:val="28"/>
          <w:szCs w:val="28"/>
        </w:rPr>
      </w:pPr>
      <w:r>
        <w:rPr>
          <w:rFonts w:hint="eastAsia" w:ascii="宋体" w:hAnsi="宋体" w:eastAsia="宋体"/>
          <w:sz w:val="28"/>
          <w:szCs w:val="28"/>
        </w:rPr>
        <w:t>概述</w:t>
      </w:r>
    </w:p>
    <w:p>
      <w:pPr>
        <w:pStyle w:val="7"/>
        <w:keepNext w:val="0"/>
        <w:keepLines w:val="0"/>
        <w:widowControl/>
        <w:suppressLineNumbers w:val="0"/>
        <w:spacing w:before="300" w:beforeAutospacing="0" w:after="300" w:afterAutospacing="0"/>
        <w:ind w:right="300" w:firstLine="480" w:firstLineChars="200"/>
        <w:rPr>
          <w:rFonts w:hint="eastAsia" w:ascii="宋体" w:hAnsi="宋体" w:eastAsia="宋体" w:cstheme="minorBidi"/>
          <w:kern w:val="2"/>
          <w:sz w:val="24"/>
          <w:szCs w:val="24"/>
          <w:lang w:val="en-US" w:eastAsia="zh-CN" w:bidi="ar-SA"/>
        </w:rPr>
      </w:pPr>
      <w:r>
        <w:rPr>
          <w:rFonts w:hint="eastAsia" w:ascii="宋体" w:hAnsi="宋体" w:eastAsia="宋体"/>
          <w:lang w:val="en-US" w:eastAsia="zh-CN"/>
        </w:rPr>
        <w:t>受疫情的影响，医院</w:t>
      </w:r>
      <w:r>
        <w:rPr>
          <w:rFonts w:hint="eastAsia" w:ascii="宋体" w:hAnsi="宋体" w:eastAsia="宋体"/>
        </w:rPr>
        <w:t>“一患一陪护”的政策在全国范围内执行，杭州多家医院陆续发布“就医告知书”，再次强调住院患者除固定一位陪护外，其他人员不得到病房探视，所有病房严格实行24小时出</w:t>
      </w:r>
      <w:r>
        <w:rPr>
          <w:rFonts w:hint="eastAsia" w:ascii="宋体" w:hAnsi="宋体" w:eastAsia="宋体" w:cstheme="minorBidi"/>
          <w:kern w:val="2"/>
          <w:sz w:val="24"/>
          <w:szCs w:val="24"/>
          <w:lang w:val="en-US" w:eastAsia="zh-CN" w:bidi="ar-SA"/>
        </w:rPr>
        <w:t>入管控。为有效落实此项政策，建立智能化的住院陪护管理系统，第一时间筑起疫情防控的“防火墙”迫在眉睫。</w:t>
      </w:r>
    </w:p>
    <w:p>
      <w:pPr>
        <w:pStyle w:val="7"/>
        <w:keepNext w:val="0"/>
        <w:keepLines w:val="0"/>
        <w:widowControl/>
        <w:suppressLineNumbers w:val="0"/>
        <w:spacing w:before="300" w:beforeAutospacing="0" w:after="300" w:afterAutospacing="0"/>
        <w:ind w:right="300" w:firstLine="480" w:firstLineChars="200"/>
        <w:rPr>
          <w:rFonts w:hint="eastAsia" w:ascii="宋体" w:hAnsi="宋体" w:eastAsia="宋体" w:cstheme="minorBidi"/>
          <w:kern w:val="2"/>
          <w:sz w:val="24"/>
          <w:szCs w:val="24"/>
          <w:lang w:val="en-US" w:eastAsia="zh-CN" w:bidi="ar-SA"/>
        </w:rPr>
      </w:pPr>
      <w:r>
        <w:rPr>
          <w:rFonts w:ascii="宋体" w:hAnsi="宋体" w:eastAsia="宋体"/>
        </w:rPr>
        <w:t>如何做好陪护人员的管理，让“一患一陪护”做到高效、可持续，而非简单的增加病房管理工作量，成为院方探索和尝试的方向</w:t>
      </w:r>
      <w:r>
        <w:rPr>
          <w:rFonts w:hint="eastAsia" w:ascii="宋体" w:hAnsi="宋体" w:eastAsia="宋体"/>
          <w:lang w:eastAsia="zh-CN"/>
        </w:rPr>
        <w:t>。</w:t>
      </w:r>
    </w:p>
    <w:p>
      <w:pPr>
        <w:pStyle w:val="4"/>
        <w:keepNext w:val="0"/>
        <w:keepLines w:val="0"/>
        <w:widowControl/>
        <w:suppressLineNumbers w:val="0"/>
        <w:spacing w:before="0" w:beforeAutospacing="0" w:after="226" w:afterAutospacing="0"/>
        <w:ind w:left="0" w:right="0"/>
        <w:jc w:val="both"/>
        <w:rPr>
          <w:color w:val="333333"/>
          <w:sz w:val="27"/>
          <w:szCs w:val="27"/>
        </w:rPr>
      </w:pPr>
    </w:p>
    <w:p>
      <w:pPr>
        <w:spacing w:line="360" w:lineRule="auto"/>
        <w:ind w:firstLine="420"/>
        <w:jc w:val="left"/>
        <w:rPr>
          <w:rFonts w:hint="eastAsia" w:ascii="宋体" w:hAnsi="宋体" w:eastAsia="宋体"/>
        </w:rPr>
      </w:pPr>
    </w:p>
    <w:p>
      <w:pPr>
        <w:spacing w:line="360" w:lineRule="auto"/>
        <w:ind w:firstLine="420"/>
        <w:jc w:val="left"/>
        <w:rPr>
          <w:rFonts w:hint="eastAsia" w:ascii="宋体" w:hAnsi="宋体" w:eastAsia="宋体"/>
        </w:rPr>
      </w:pPr>
    </w:p>
    <w:p>
      <w:pPr>
        <w:spacing w:line="360" w:lineRule="auto"/>
        <w:ind w:firstLine="566" w:firstLineChars="236"/>
        <w:jc w:val="left"/>
        <w:rPr>
          <w:rFonts w:ascii="宋体" w:hAnsi="宋体" w:eastAsia="宋体"/>
          <w:i/>
        </w:rPr>
      </w:pPr>
      <w:r>
        <w:rPr>
          <w:rFonts w:hint="eastAsia" w:ascii="宋体" w:hAnsi="宋体" w:eastAsia="宋体"/>
          <w:i/>
        </w:rPr>
        <w:t>本文档</w:t>
      </w:r>
      <w:r>
        <w:rPr>
          <w:rFonts w:ascii="宋体" w:hAnsi="宋体" w:eastAsia="宋体"/>
          <w:i/>
        </w:rPr>
        <w:t>根据</w:t>
      </w:r>
      <w:r>
        <w:rPr>
          <w:rFonts w:hint="eastAsia" w:ascii="宋体" w:hAnsi="宋体" w:eastAsia="宋体"/>
          <w:i/>
          <w:lang w:eastAsia="zh-CN"/>
        </w:rPr>
        <w:t>“</w:t>
      </w:r>
      <w:r>
        <w:rPr>
          <w:rFonts w:hint="eastAsia" w:ascii="宋体" w:hAnsi="宋体" w:eastAsia="宋体"/>
          <w:i/>
          <w:lang w:val="en-US" w:eastAsia="zh-CN"/>
        </w:rPr>
        <w:t>浙江三墩医院首创电子陪护证”新闻</w:t>
      </w:r>
      <w:r>
        <w:rPr>
          <w:rFonts w:ascii="宋体" w:hAnsi="宋体" w:eastAsia="宋体"/>
          <w:i/>
        </w:rPr>
        <w:t>编写。</w:t>
      </w:r>
    </w:p>
    <w:p>
      <w:pPr>
        <w:widowControl/>
        <w:spacing w:line="360" w:lineRule="auto"/>
        <w:jc w:val="left"/>
        <w:rPr>
          <w:rFonts w:ascii="宋体" w:hAnsi="宋体" w:eastAsia="宋体"/>
          <w:b/>
        </w:rPr>
      </w:pPr>
      <w:r>
        <w:rPr>
          <w:rFonts w:ascii="宋体" w:hAnsi="宋体" w:eastAsia="宋体"/>
          <w:b/>
        </w:rPr>
        <w:br w:type="page"/>
      </w:r>
    </w:p>
    <w:p>
      <w:pPr>
        <w:pStyle w:val="2"/>
        <w:numPr>
          <w:ilvl w:val="0"/>
          <w:numId w:val="1"/>
        </w:numPr>
        <w:spacing w:line="360" w:lineRule="auto"/>
        <w:rPr>
          <w:rFonts w:ascii="宋体" w:hAnsi="宋体" w:eastAsia="宋体"/>
          <w:sz w:val="28"/>
          <w:szCs w:val="28"/>
        </w:rPr>
      </w:pPr>
      <w:r>
        <w:rPr>
          <w:rFonts w:hint="eastAsia" w:ascii="宋体" w:hAnsi="宋体" w:eastAsia="宋体"/>
          <w:sz w:val="28"/>
          <w:szCs w:val="28"/>
          <w:lang w:val="en-US" w:eastAsia="zh-CN"/>
        </w:rPr>
        <w:t>医院住院部探视</w:t>
      </w:r>
      <w:r>
        <w:rPr>
          <w:rFonts w:hint="eastAsia" w:ascii="宋体" w:hAnsi="宋体" w:eastAsia="宋体"/>
          <w:sz w:val="28"/>
          <w:szCs w:val="28"/>
        </w:rPr>
        <w:t>业务流程</w:t>
      </w:r>
    </w:p>
    <w:p>
      <w:pPr>
        <w:pStyle w:val="3"/>
        <w:numPr>
          <w:ilvl w:val="0"/>
          <w:numId w:val="2"/>
        </w:numPr>
        <w:spacing w:line="360" w:lineRule="auto"/>
        <w:ind w:hanging="136"/>
        <w:rPr>
          <w:rFonts w:ascii="宋体" w:hAnsi="宋体" w:eastAsia="宋体"/>
          <w:sz w:val="24"/>
        </w:rPr>
      </w:pPr>
      <w:r>
        <w:rPr>
          <w:rFonts w:hint="eastAsia" w:ascii="宋体" w:hAnsi="宋体" w:eastAsia="宋体"/>
          <w:sz w:val="24"/>
          <w:lang w:val="en-US" w:eastAsia="zh-CN"/>
        </w:rPr>
        <w:t>传统病区陪护人员的管理流程</w:t>
      </w:r>
    </w:p>
    <w:p>
      <w:pPr>
        <w:spacing w:line="360" w:lineRule="auto"/>
        <w:ind w:firstLine="283" w:firstLineChars="118"/>
        <w:jc w:val="left"/>
        <w:rPr>
          <w:rFonts w:hint="default" w:ascii="宋体" w:hAnsi="宋体" w:eastAsia="宋体"/>
          <w:lang w:val="en-US" w:eastAsia="zh-CN"/>
        </w:rPr>
      </w:pPr>
      <w:r>
        <w:rPr>
          <w:rFonts w:ascii="宋体" w:hAnsi="宋体" w:eastAsia="宋体"/>
        </w:rPr>
        <w:t>长期以来，医院对于陪护人员的管理都采取传统的发放纸质陪护证的形式，统计困难也难以追溯。</w:t>
      </w:r>
      <w:r>
        <w:rPr>
          <w:rFonts w:hint="eastAsia" w:ascii="宋体" w:hAnsi="宋体" w:eastAsia="宋体"/>
          <w:lang w:val="en-US" w:eastAsia="zh-CN"/>
        </w:rPr>
        <w:t>传统陪护人员的管理流程如下：</w:t>
      </w:r>
    </w:p>
    <w:p>
      <w:pPr>
        <w:spacing w:line="360" w:lineRule="auto"/>
        <w:ind w:firstLine="283" w:firstLineChars="118"/>
        <w:jc w:val="left"/>
        <w:rPr>
          <w:rFonts w:ascii="宋体" w:hAnsi="宋体" w:eastAsia="宋体"/>
        </w:rPr>
      </w:pPr>
    </w:p>
    <w:p>
      <w:pPr>
        <w:spacing w:line="360" w:lineRule="auto"/>
        <w:jc w:val="center"/>
        <w:rPr>
          <w:rFonts w:ascii="宋体" w:hAnsi="宋体" w:eastAsia="宋体" w:cs="Calibri"/>
        </w:rPr>
      </w:pPr>
      <w:r>
        <w:drawing>
          <wp:inline distT="0" distB="0" distL="114300" distR="114300">
            <wp:extent cx="2314575" cy="5153025"/>
            <wp:effectExtent l="0" t="0" r="9525" b="952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5"/>
                    <a:stretch>
                      <a:fillRect/>
                    </a:stretch>
                  </pic:blipFill>
                  <pic:spPr>
                    <a:xfrm>
                      <a:off x="0" y="0"/>
                      <a:ext cx="2314575" cy="5153025"/>
                    </a:xfrm>
                    <a:prstGeom prst="rect">
                      <a:avLst/>
                    </a:prstGeom>
                    <a:noFill/>
                    <a:ln>
                      <a:noFill/>
                    </a:ln>
                  </pic:spPr>
                </pic:pic>
              </a:graphicData>
            </a:graphic>
          </wp:inline>
        </w:drawing>
      </w:r>
    </w:p>
    <w:p>
      <w:pPr>
        <w:widowControl/>
        <w:spacing w:line="360" w:lineRule="auto"/>
        <w:jc w:val="left"/>
        <w:rPr>
          <w:rFonts w:ascii="宋体" w:hAnsi="宋体" w:eastAsia="宋体" w:cs="Calibri"/>
          <w:b/>
          <w:u w:val="single"/>
        </w:rPr>
      </w:pPr>
      <w:r>
        <w:rPr>
          <w:rFonts w:hint="eastAsia" w:ascii="宋体" w:hAnsi="宋体" w:eastAsia="宋体" w:cs="Calibri"/>
          <w:b/>
          <w:u w:val="single"/>
        </w:rPr>
        <w:t>流程说明</w:t>
      </w:r>
      <w:r>
        <w:rPr>
          <w:rFonts w:hint="eastAsia" w:ascii="宋体" w:hAnsi="宋体" w:eastAsia="宋体" w:cs="Calibri"/>
          <w:b/>
        </w:rPr>
        <w:t>：</w:t>
      </w:r>
    </w:p>
    <w:p>
      <w:pPr>
        <w:pStyle w:val="18"/>
        <w:widowControl/>
        <w:spacing w:line="360" w:lineRule="auto"/>
        <w:jc w:val="left"/>
        <w:rPr>
          <w:rFonts w:hint="default" w:ascii="宋体" w:hAnsi="宋体" w:eastAsia="宋体" w:cs="Calibri"/>
          <w:lang w:val="en-US" w:eastAsia="zh-CN"/>
        </w:rPr>
      </w:pPr>
      <w:r>
        <w:rPr>
          <w:rFonts w:hint="eastAsia" w:ascii="宋体" w:hAnsi="宋体" w:eastAsia="宋体" w:cs="Calibri"/>
          <w:lang w:val="en-US" w:eastAsia="zh-CN"/>
        </w:rPr>
        <w:t>根据病人或者病人家属要求和病情需要，病人一般需要一位亲属进行陪护，办理好住院手续后，联系住院部的护士进行陪护人员的信息登记，并为其开具相关的纸质陪护证明单据，之后凭借该单据进出住院部。</w:t>
      </w:r>
    </w:p>
    <w:p>
      <w:pPr>
        <w:widowControl/>
        <w:spacing w:line="360" w:lineRule="auto"/>
        <w:jc w:val="left"/>
        <w:rPr>
          <w:rFonts w:ascii="宋体" w:hAnsi="宋体" w:eastAsia="宋体" w:cs="Calibri"/>
        </w:rPr>
      </w:pPr>
    </w:p>
    <w:p>
      <w:pPr>
        <w:widowControl/>
        <w:spacing w:line="360" w:lineRule="auto"/>
        <w:jc w:val="left"/>
        <w:rPr>
          <w:rFonts w:ascii="宋体" w:hAnsi="宋体" w:eastAsia="宋体" w:cs="Calibri"/>
          <w:b/>
          <w:u w:val="single"/>
        </w:rPr>
      </w:pPr>
      <w:r>
        <w:rPr>
          <w:rFonts w:hint="eastAsia" w:ascii="宋体" w:hAnsi="宋体" w:eastAsia="宋体" w:cs="Calibri"/>
          <w:b/>
          <w:u w:val="single"/>
        </w:rPr>
        <w:t>管理优化</w:t>
      </w:r>
      <w:r>
        <w:rPr>
          <w:rFonts w:ascii="宋体" w:hAnsi="宋体" w:eastAsia="宋体" w:cs="Calibri"/>
          <w:b/>
          <w:u w:val="single"/>
        </w:rPr>
        <w:t>需求</w:t>
      </w:r>
      <w:r>
        <w:rPr>
          <w:rFonts w:hint="eastAsia" w:ascii="宋体" w:hAnsi="宋体" w:eastAsia="宋体" w:cs="Calibri"/>
          <w:b/>
        </w:rPr>
        <w:t>：</w:t>
      </w:r>
    </w:p>
    <w:p>
      <w:pPr>
        <w:pStyle w:val="18"/>
        <w:widowControl/>
        <w:spacing w:line="360" w:lineRule="auto"/>
        <w:ind w:firstLine="424" w:firstLineChars="177"/>
        <w:jc w:val="left"/>
        <w:rPr>
          <w:rFonts w:ascii="宋体" w:hAnsi="宋体" w:eastAsia="宋体" w:cs="Calibri"/>
        </w:rPr>
      </w:pPr>
      <w:r>
        <w:rPr>
          <w:rFonts w:hint="eastAsia" w:ascii="宋体" w:hAnsi="宋体" w:eastAsia="宋体" w:cs="Calibri"/>
        </w:rPr>
        <w:t>目前</w:t>
      </w:r>
      <w:r>
        <w:rPr>
          <w:rFonts w:hint="eastAsia" w:ascii="宋体" w:hAnsi="宋体" w:eastAsia="宋体" w:cs="Calibri"/>
          <w:lang w:val="en-US" w:eastAsia="zh-CN"/>
        </w:rPr>
        <w:t>陪护人员的信息登记是</w:t>
      </w:r>
      <w:r>
        <w:rPr>
          <w:rFonts w:ascii="宋体" w:hAnsi="宋体" w:eastAsia="宋体" w:cs="Calibri"/>
        </w:rPr>
        <w:t>由人工</w:t>
      </w:r>
      <w:r>
        <w:rPr>
          <w:rFonts w:hint="eastAsia" w:ascii="宋体" w:hAnsi="宋体" w:eastAsia="宋体" w:cs="Calibri"/>
          <w:lang w:val="en-US" w:eastAsia="zh-CN"/>
        </w:rPr>
        <w:t>进行登记</w:t>
      </w:r>
      <w:r>
        <w:rPr>
          <w:rFonts w:ascii="宋体" w:hAnsi="宋体" w:eastAsia="宋体" w:cs="Calibri"/>
        </w:rPr>
        <w:t>希望</w:t>
      </w:r>
      <w:r>
        <w:rPr>
          <w:rFonts w:hint="eastAsia" w:ascii="宋体" w:hAnsi="宋体" w:eastAsia="宋体" w:cs="Calibri"/>
        </w:rPr>
        <w:t>由</w:t>
      </w:r>
      <w:r>
        <w:rPr>
          <w:rFonts w:ascii="宋体" w:hAnsi="宋体" w:eastAsia="宋体" w:cs="Calibri"/>
        </w:rPr>
        <w:t>系统</w:t>
      </w:r>
      <w:r>
        <w:rPr>
          <w:rFonts w:hint="eastAsia" w:ascii="宋体" w:hAnsi="宋体" w:eastAsia="宋体" w:cs="Calibri"/>
        </w:rPr>
        <w:t>进行</w:t>
      </w:r>
      <w:r>
        <w:rPr>
          <w:rFonts w:hint="eastAsia" w:ascii="宋体" w:hAnsi="宋体" w:eastAsia="宋体" w:cs="Calibri"/>
          <w:lang w:val="en-US" w:eastAsia="zh-CN"/>
        </w:rPr>
        <w:t>登记；</w:t>
      </w:r>
    </w:p>
    <w:p>
      <w:pPr>
        <w:pStyle w:val="18"/>
        <w:widowControl/>
        <w:spacing w:line="360" w:lineRule="auto"/>
        <w:ind w:firstLine="424" w:firstLineChars="177"/>
        <w:jc w:val="left"/>
        <w:rPr>
          <w:rFonts w:hint="eastAsia" w:ascii="宋体" w:hAnsi="宋体" w:eastAsia="宋体" w:cs="Calibri"/>
          <w:lang w:val="en-US" w:eastAsia="zh-CN"/>
        </w:rPr>
      </w:pPr>
      <w:r>
        <w:rPr>
          <w:rFonts w:hint="eastAsia" w:ascii="宋体" w:hAnsi="宋体" w:eastAsia="宋体" w:cs="Calibri"/>
          <w:lang w:val="en-US" w:eastAsia="zh-CN"/>
        </w:rPr>
        <w:t>系统支持手机申领二维码形式的陪护码进行扫描识别来代替目前的纸质陪护单；</w:t>
      </w:r>
    </w:p>
    <w:p>
      <w:pPr>
        <w:pStyle w:val="18"/>
        <w:widowControl/>
        <w:spacing w:line="360" w:lineRule="auto"/>
        <w:ind w:firstLine="424" w:firstLineChars="177"/>
        <w:jc w:val="left"/>
        <w:rPr>
          <w:rFonts w:hint="eastAsia" w:ascii="宋体" w:hAnsi="宋体" w:eastAsia="宋体" w:cs="Calibri"/>
          <w:lang w:val="en-US" w:eastAsia="zh-CN"/>
        </w:rPr>
      </w:pPr>
      <w:r>
        <w:rPr>
          <w:rFonts w:hint="eastAsia" w:ascii="宋体" w:hAnsi="宋体" w:eastAsia="宋体" w:cs="Calibri"/>
          <w:lang w:val="en-US" w:eastAsia="zh-CN"/>
        </w:rPr>
        <w:t>系统的界面和操作简单易学；</w:t>
      </w:r>
    </w:p>
    <w:p>
      <w:pPr>
        <w:pStyle w:val="18"/>
        <w:widowControl/>
        <w:spacing w:line="360" w:lineRule="auto"/>
        <w:ind w:firstLine="424" w:firstLineChars="177"/>
        <w:jc w:val="left"/>
        <w:rPr>
          <w:rFonts w:hint="eastAsia" w:ascii="宋体" w:hAnsi="宋体" w:eastAsia="宋体" w:cs="Calibri"/>
          <w:lang w:val="en-US" w:eastAsia="zh-CN"/>
        </w:rPr>
      </w:pPr>
      <w:r>
        <w:rPr>
          <w:rFonts w:hint="eastAsia" w:ascii="宋体" w:hAnsi="宋体" w:eastAsia="宋体" w:cs="Calibri"/>
          <w:lang w:val="en-US" w:eastAsia="zh-CN"/>
        </w:rPr>
        <w:t>通行方式支持刷脸、刷陪护码、刷身份证、临时人员通行；</w:t>
      </w:r>
    </w:p>
    <w:p>
      <w:pPr>
        <w:pStyle w:val="18"/>
        <w:widowControl/>
        <w:spacing w:line="360" w:lineRule="auto"/>
        <w:ind w:firstLine="424" w:firstLineChars="177"/>
        <w:jc w:val="left"/>
        <w:rPr>
          <w:rFonts w:hint="eastAsia" w:ascii="宋体" w:hAnsi="宋体" w:eastAsia="宋体" w:cs="Calibri"/>
          <w:lang w:val="en-US" w:eastAsia="zh-CN"/>
        </w:rPr>
      </w:pPr>
      <w:r>
        <w:rPr>
          <w:rFonts w:hint="eastAsia" w:ascii="宋体" w:hAnsi="宋体" w:eastAsia="宋体" w:cs="Calibri"/>
          <w:lang w:val="en-US" w:eastAsia="zh-CN"/>
        </w:rPr>
        <w:t>系统支持陪护码的有效期功能和更新、注销功能；</w:t>
      </w:r>
    </w:p>
    <w:p>
      <w:pPr>
        <w:pStyle w:val="18"/>
        <w:widowControl/>
        <w:spacing w:line="360" w:lineRule="auto"/>
        <w:ind w:firstLine="424" w:firstLineChars="177"/>
        <w:jc w:val="left"/>
        <w:rPr>
          <w:rFonts w:hint="default" w:ascii="宋体" w:hAnsi="宋体" w:eastAsia="宋体" w:cs="Calibri"/>
          <w:lang w:val="en-US" w:eastAsia="zh-CN"/>
        </w:rPr>
      </w:pPr>
      <w:r>
        <w:rPr>
          <w:rFonts w:hint="eastAsia" w:ascii="宋体" w:hAnsi="宋体" w:eastAsia="宋体" w:cs="Calibri"/>
          <w:lang w:val="en-US" w:eastAsia="zh-CN"/>
        </w:rPr>
        <w:t>系统支持住院证申领、住院费用预交、住院费用和清单查询；</w:t>
      </w:r>
    </w:p>
    <w:p>
      <w:pPr>
        <w:pStyle w:val="18"/>
        <w:widowControl/>
        <w:spacing w:line="360" w:lineRule="auto"/>
        <w:ind w:firstLine="424" w:firstLineChars="177"/>
        <w:jc w:val="left"/>
        <w:rPr>
          <w:rFonts w:hint="eastAsia" w:ascii="宋体" w:hAnsi="宋体" w:eastAsia="宋体" w:cs="Calibri"/>
          <w:lang w:val="en-US" w:eastAsia="zh-CN"/>
        </w:rPr>
      </w:pPr>
      <w:r>
        <w:rPr>
          <w:rFonts w:hint="eastAsia" w:ascii="宋体" w:hAnsi="宋体" w:eastAsia="宋体" w:cs="Calibri"/>
          <w:lang w:val="en-US" w:eastAsia="zh-CN"/>
        </w:rPr>
        <w:t>系统支持相关人员、访问人数的统计追溯和内部管理相对应需要的报表。</w:t>
      </w:r>
    </w:p>
    <w:p>
      <w:pPr>
        <w:pStyle w:val="18"/>
        <w:widowControl/>
        <w:spacing w:line="360" w:lineRule="auto"/>
        <w:ind w:firstLine="424" w:firstLineChars="177"/>
        <w:jc w:val="left"/>
        <w:rPr>
          <w:rFonts w:hint="eastAsia" w:ascii="宋体" w:hAnsi="宋体" w:eastAsia="宋体"/>
          <w:lang w:val="en-US" w:eastAsia="zh-CN"/>
        </w:rPr>
      </w:pPr>
      <w:r>
        <w:rPr>
          <w:rFonts w:hint="eastAsia" w:ascii="宋体" w:hAnsi="宋体" w:eastAsia="宋体"/>
          <w:lang w:val="en-US" w:eastAsia="zh-CN"/>
        </w:rPr>
        <w:t>优化陪护人员的管理流程如下：</w:t>
      </w:r>
    </w:p>
    <w:p>
      <w:pPr>
        <w:pStyle w:val="18"/>
        <w:widowControl/>
        <w:spacing w:line="360" w:lineRule="auto"/>
        <w:ind w:firstLine="424" w:firstLineChars="177"/>
        <w:jc w:val="left"/>
        <w:rPr>
          <w:rFonts w:hint="default" w:ascii="宋体" w:hAnsi="宋体" w:eastAsia="宋体"/>
          <w:lang w:val="en-US" w:eastAsia="zh-CN"/>
        </w:rPr>
      </w:pPr>
      <w:r>
        <w:drawing>
          <wp:inline distT="0" distB="0" distL="114300" distR="114300">
            <wp:extent cx="4324350" cy="5248275"/>
            <wp:effectExtent l="0" t="0" r="0" b="952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6"/>
                    <a:stretch>
                      <a:fillRect/>
                    </a:stretch>
                  </pic:blipFill>
                  <pic:spPr>
                    <a:xfrm>
                      <a:off x="0" y="0"/>
                      <a:ext cx="4324350" cy="5248275"/>
                    </a:xfrm>
                    <a:prstGeom prst="rect">
                      <a:avLst/>
                    </a:prstGeom>
                    <a:noFill/>
                    <a:ln>
                      <a:noFill/>
                    </a:ln>
                  </pic:spPr>
                </pic:pic>
              </a:graphicData>
            </a:graphic>
          </wp:inline>
        </w:drawing>
      </w:r>
    </w:p>
    <w:p>
      <w:pPr>
        <w:pStyle w:val="18"/>
        <w:widowControl/>
        <w:spacing w:line="360" w:lineRule="auto"/>
        <w:ind w:firstLine="424" w:firstLineChars="177"/>
        <w:jc w:val="left"/>
        <w:rPr>
          <w:rFonts w:ascii="宋体" w:hAnsi="宋体" w:eastAsia="宋体" w:cs="Calibri"/>
        </w:rPr>
      </w:pPr>
    </w:p>
    <w:p>
      <w:pPr>
        <w:widowControl/>
        <w:spacing w:line="360" w:lineRule="auto"/>
        <w:jc w:val="left"/>
        <w:rPr>
          <w:rFonts w:ascii="宋体" w:hAnsi="宋体" w:eastAsia="宋体" w:cs="Calibri"/>
          <w:b/>
          <w:u w:val="single"/>
        </w:rPr>
      </w:pPr>
      <w:r>
        <w:rPr>
          <w:rFonts w:hint="eastAsia" w:ascii="宋体" w:hAnsi="宋体" w:eastAsia="宋体" w:cs="Calibri"/>
          <w:b/>
          <w:u w:val="single"/>
        </w:rPr>
        <w:t>流程说明</w:t>
      </w:r>
      <w:r>
        <w:rPr>
          <w:rFonts w:hint="eastAsia" w:ascii="宋体" w:hAnsi="宋体" w:eastAsia="宋体" w:cs="Calibri"/>
          <w:b/>
        </w:rPr>
        <w:t>：</w:t>
      </w:r>
    </w:p>
    <w:p>
      <w:pPr>
        <w:pStyle w:val="18"/>
        <w:widowControl/>
        <w:spacing w:line="360" w:lineRule="auto"/>
        <w:jc w:val="left"/>
        <w:rPr>
          <w:rFonts w:hint="default" w:ascii="宋体" w:hAnsi="宋体" w:eastAsia="宋体" w:cs="Calibri"/>
          <w:lang w:val="en-US" w:eastAsia="zh-CN"/>
        </w:rPr>
      </w:pPr>
      <w:r>
        <w:rPr>
          <w:rFonts w:hint="eastAsia" w:ascii="宋体" w:hAnsi="宋体" w:eastAsia="宋体" w:cs="Calibri"/>
          <w:lang w:val="en-US" w:eastAsia="zh-CN"/>
        </w:rPr>
        <w:t>病人在住院部完成住院手续的办理后，需要在系统中登记陪护人的信息关联陪护人员的身份证号码为唯一识别码，陪护人员可下载APP或扫描海报二维码进行陪护通行证的申领（需要人脸识别验证），申领完成后，可以凭该二维码或者刷脸进出住院部，陪护人员可在系统上进行住院费用的预交结算和清单查询等操作。当病人出院后，在出入院办理完出院手续后，需进行陪护证信息的注销操作。</w:t>
      </w:r>
    </w:p>
    <w:p>
      <w:pPr>
        <w:widowControl/>
        <w:spacing w:line="360" w:lineRule="auto"/>
        <w:jc w:val="left"/>
        <w:rPr>
          <w:rFonts w:ascii="宋体" w:hAnsi="宋体" w:eastAsia="宋体" w:cs="Calibri"/>
          <w:b/>
        </w:rPr>
      </w:pPr>
    </w:p>
    <w:p>
      <w:pPr>
        <w:pStyle w:val="18"/>
        <w:widowControl/>
        <w:spacing w:line="360" w:lineRule="auto"/>
        <w:ind w:left="420" w:firstLine="0" w:firstLineChars="0"/>
        <w:jc w:val="left"/>
        <w:rPr>
          <w:rFonts w:ascii="宋体" w:hAnsi="宋体" w:eastAsia="宋体" w:cs="Calibri"/>
        </w:rPr>
      </w:pPr>
      <w:bookmarkStart w:id="0" w:name="_GoBack"/>
      <w:bookmarkEnd w:id="0"/>
    </w:p>
    <w:p>
      <w:pPr>
        <w:pStyle w:val="18"/>
        <w:widowControl/>
        <w:spacing w:line="360" w:lineRule="auto"/>
        <w:ind w:left="420" w:firstLine="0" w:firstLineChars="0"/>
        <w:jc w:val="left"/>
        <w:rPr>
          <w:rFonts w:ascii="宋体" w:hAnsi="宋体" w:eastAsia="宋体" w:cs="Calibri"/>
        </w:rPr>
      </w:pPr>
    </w:p>
    <w:p>
      <w:pPr>
        <w:pStyle w:val="18"/>
        <w:widowControl/>
        <w:numPr>
          <w:numId w:val="0"/>
        </w:numPr>
        <w:spacing w:line="360" w:lineRule="auto"/>
        <w:ind w:leftChars="0"/>
        <w:jc w:val="left"/>
        <w:rPr>
          <w:rFonts w:hint="eastAsia" w:ascii="宋体" w:hAnsi="宋体" w:eastAsia="宋体" w:cs="Calibri"/>
        </w:rPr>
      </w:pPr>
    </w:p>
    <w:sectPr>
      <w:footerReference r:id="rId3" w:type="default"/>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engXian">
    <w:altName w:val="宋体"/>
    <w:panose1 w:val="00000000000000000000"/>
    <w:charset w:val="86"/>
    <w:family w:val="auto"/>
    <w:pitch w:val="default"/>
    <w:sig w:usb0="00000000" w:usb1="00000000" w:usb2="00000000" w:usb3="00000000" w:csb0="00000000" w:csb1="00000000"/>
  </w:font>
  <w:font w:name="DengXian Light">
    <w:altName w:val="Segoe Print"/>
    <w:panose1 w:val="00000000000000000000"/>
    <w:charset w:val="00"/>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7845756"/>
      <w:docPartObj>
        <w:docPartGallery w:val="autotext"/>
      </w:docPartObj>
    </w:sdtPr>
    <w:sdtContent>
      <w:sdt>
        <w:sdtPr>
          <w:id w:val="-1705238520"/>
          <w:docPartObj>
            <w:docPartGallery w:val="autotext"/>
          </w:docPartObj>
        </w:sdtPr>
        <w:sdtContent>
          <w:p>
            <w:pPr>
              <w:pStyle w:val="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10</w:t>
            </w:r>
            <w:r>
              <w:rPr>
                <w:b/>
                <w:bCs/>
                <w:sz w:val="24"/>
                <w:szCs w:val="24"/>
              </w:rPr>
              <w:fldChar w:fldCharType="end"/>
            </w:r>
          </w:p>
        </w:sdtContent>
      </w:sdt>
    </w:sdtContent>
  </w:sdt>
  <w:p>
    <w:pPr>
      <w:pStyle w:val="5"/>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1429B2"/>
    <w:multiLevelType w:val="multilevel"/>
    <w:tmpl w:val="641429B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3FD1494"/>
    <w:multiLevelType w:val="multilevel"/>
    <w:tmpl w:val="73FD149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775"/>
    <w:rsid w:val="0003045A"/>
    <w:rsid w:val="00037B90"/>
    <w:rsid w:val="000925BA"/>
    <w:rsid w:val="00095989"/>
    <w:rsid w:val="000C7D1C"/>
    <w:rsid w:val="00111BEF"/>
    <w:rsid w:val="001162ED"/>
    <w:rsid w:val="0012314E"/>
    <w:rsid w:val="00143090"/>
    <w:rsid w:val="001B4ADB"/>
    <w:rsid w:val="0029300B"/>
    <w:rsid w:val="002C4343"/>
    <w:rsid w:val="00336F80"/>
    <w:rsid w:val="003463CA"/>
    <w:rsid w:val="00351FA0"/>
    <w:rsid w:val="0037595C"/>
    <w:rsid w:val="003A1340"/>
    <w:rsid w:val="004123FA"/>
    <w:rsid w:val="004617FA"/>
    <w:rsid w:val="0048466B"/>
    <w:rsid w:val="004A39AC"/>
    <w:rsid w:val="004B1263"/>
    <w:rsid w:val="004C641C"/>
    <w:rsid w:val="00585100"/>
    <w:rsid w:val="00590245"/>
    <w:rsid w:val="005A2761"/>
    <w:rsid w:val="005B286D"/>
    <w:rsid w:val="005B3C65"/>
    <w:rsid w:val="005E34E8"/>
    <w:rsid w:val="00627088"/>
    <w:rsid w:val="00627A3E"/>
    <w:rsid w:val="0063106E"/>
    <w:rsid w:val="0064226F"/>
    <w:rsid w:val="0065119C"/>
    <w:rsid w:val="006615BE"/>
    <w:rsid w:val="00661B39"/>
    <w:rsid w:val="006668BF"/>
    <w:rsid w:val="006B6E7C"/>
    <w:rsid w:val="00717EDD"/>
    <w:rsid w:val="00724F98"/>
    <w:rsid w:val="00745EA1"/>
    <w:rsid w:val="00757C46"/>
    <w:rsid w:val="007B4296"/>
    <w:rsid w:val="007D135B"/>
    <w:rsid w:val="007F165B"/>
    <w:rsid w:val="00812C00"/>
    <w:rsid w:val="008249DE"/>
    <w:rsid w:val="0083007A"/>
    <w:rsid w:val="00844082"/>
    <w:rsid w:val="00865A08"/>
    <w:rsid w:val="00876A6D"/>
    <w:rsid w:val="008E44EC"/>
    <w:rsid w:val="00902D2E"/>
    <w:rsid w:val="00931D99"/>
    <w:rsid w:val="00940446"/>
    <w:rsid w:val="00944489"/>
    <w:rsid w:val="0098793E"/>
    <w:rsid w:val="009A0E6C"/>
    <w:rsid w:val="009A429B"/>
    <w:rsid w:val="009A7185"/>
    <w:rsid w:val="009B620F"/>
    <w:rsid w:val="009D4CDA"/>
    <w:rsid w:val="00A97C7B"/>
    <w:rsid w:val="00AC42D7"/>
    <w:rsid w:val="00AD3B68"/>
    <w:rsid w:val="00AF49DF"/>
    <w:rsid w:val="00B24A17"/>
    <w:rsid w:val="00B447CD"/>
    <w:rsid w:val="00B53D0D"/>
    <w:rsid w:val="00B865B1"/>
    <w:rsid w:val="00B9229B"/>
    <w:rsid w:val="00B93807"/>
    <w:rsid w:val="00B95F30"/>
    <w:rsid w:val="00BC2A61"/>
    <w:rsid w:val="00BD49CE"/>
    <w:rsid w:val="00C174DA"/>
    <w:rsid w:val="00C33BB5"/>
    <w:rsid w:val="00C5022D"/>
    <w:rsid w:val="00C65C5C"/>
    <w:rsid w:val="00CA30E5"/>
    <w:rsid w:val="00CC1775"/>
    <w:rsid w:val="00CC2964"/>
    <w:rsid w:val="00D31A46"/>
    <w:rsid w:val="00D33803"/>
    <w:rsid w:val="00D52292"/>
    <w:rsid w:val="00E34CE0"/>
    <w:rsid w:val="00E662A2"/>
    <w:rsid w:val="00E96441"/>
    <w:rsid w:val="00EA5BF0"/>
    <w:rsid w:val="00EB6E3D"/>
    <w:rsid w:val="00EE035D"/>
    <w:rsid w:val="00EF1570"/>
    <w:rsid w:val="00EF74AA"/>
    <w:rsid w:val="00F01973"/>
    <w:rsid w:val="00F233DA"/>
    <w:rsid w:val="00F3609E"/>
    <w:rsid w:val="00F55821"/>
    <w:rsid w:val="00F746A7"/>
    <w:rsid w:val="00F812A9"/>
    <w:rsid w:val="00F919DA"/>
    <w:rsid w:val="00FA18B2"/>
    <w:rsid w:val="00FD596C"/>
    <w:rsid w:val="03F94FA9"/>
    <w:rsid w:val="07DC3B20"/>
    <w:rsid w:val="07FB4DB0"/>
    <w:rsid w:val="0F4F5EDD"/>
    <w:rsid w:val="15A63BBB"/>
    <w:rsid w:val="19871799"/>
    <w:rsid w:val="1A1E349F"/>
    <w:rsid w:val="1AB713D0"/>
    <w:rsid w:val="1C89225D"/>
    <w:rsid w:val="1D274104"/>
    <w:rsid w:val="1E631F4D"/>
    <w:rsid w:val="22966119"/>
    <w:rsid w:val="235F300D"/>
    <w:rsid w:val="23FB7727"/>
    <w:rsid w:val="255D2BC8"/>
    <w:rsid w:val="2A5B3C37"/>
    <w:rsid w:val="2B6049EB"/>
    <w:rsid w:val="2BFC4BAA"/>
    <w:rsid w:val="2C8701C1"/>
    <w:rsid w:val="328F141B"/>
    <w:rsid w:val="32DC023B"/>
    <w:rsid w:val="381660D4"/>
    <w:rsid w:val="3B213BFB"/>
    <w:rsid w:val="3B4835DC"/>
    <w:rsid w:val="3D785F83"/>
    <w:rsid w:val="3EB872AD"/>
    <w:rsid w:val="42404633"/>
    <w:rsid w:val="42D44E1E"/>
    <w:rsid w:val="45461384"/>
    <w:rsid w:val="478B2903"/>
    <w:rsid w:val="483E4D84"/>
    <w:rsid w:val="48E56BF0"/>
    <w:rsid w:val="497C73A0"/>
    <w:rsid w:val="4BC9159E"/>
    <w:rsid w:val="4CA50799"/>
    <w:rsid w:val="51EC5071"/>
    <w:rsid w:val="582D7200"/>
    <w:rsid w:val="5A613F01"/>
    <w:rsid w:val="5B3D6155"/>
    <w:rsid w:val="5C116696"/>
    <w:rsid w:val="5C8C2821"/>
    <w:rsid w:val="61525641"/>
    <w:rsid w:val="6359749B"/>
    <w:rsid w:val="64D84333"/>
    <w:rsid w:val="691B5328"/>
    <w:rsid w:val="6DBE57E5"/>
    <w:rsid w:val="71D15CA5"/>
    <w:rsid w:val="7486402D"/>
    <w:rsid w:val="76191749"/>
    <w:rsid w:val="77C67C7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qFormat="1" w:uiPriority="99" w:name="HTML Code"/>
    <w:lsdException w:qFormat="1"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20"/>
    <w:unhideWhenUsed/>
    <w:uiPriority w:val="99"/>
    <w:pPr>
      <w:tabs>
        <w:tab w:val="center" w:pos="4153"/>
        <w:tab w:val="right" w:pos="8306"/>
      </w:tabs>
      <w:snapToGrid w:val="0"/>
      <w:jc w:val="left"/>
    </w:pPr>
    <w:rPr>
      <w:sz w:val="18"/>
      <w:szCs w:val="18"/>
    </w:rPr>
  </w:style>
  <w:style w:type="paragraph" w:styleId="6">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FollowedHyperlink"/>
    <w:basedOn w:val="10"/>
    <w:semiHidden/>
    <w:unhideWhenUsed/>
    <w:uiPriority w:val="99"/>
    <w:rPr>
      <w:color w:val="1B1B1B"/>
      <w:u w:val="none"/>
    </w:rPr>
  </w:style>
  <w:style w:type="character" w:styleId="13">
    <w:name w:val="Emphasis"/>
    <w:basedOn w:val="10"/>
    <w:qFormat/>
    <w:uiPriority w:val="20"/>
  </w:style>
  <w:style w:type="character" w:styleId="14">
    <w:name w:val="HTML Definition"/>
    <w:basedOn w:val="10"/>
    <w:semiHidden/>
    <w:unhideWhenUsed/>
    <w:qFormat/>
    <w:uiPriority w:val="99"/>
  </w:style>
  <w:style w:type="character" w:styleId="15">
    <w:name w:val="Hyperlink"/>
    <w:basedOn w:val="10"/>
    <w:semiHidden/>
    <w:unhideWhenUsed/>
    <w:uiPriority w:val="99"/>
    <w:rPr>
      <w:color w:val="1B1B1B"/>
      <w:u w:val="none"/>
    </w:rPr>
  </w:style>
  <w:style w:type="character" w:styleId="16">
    <w:name w:val="HTML Code"/>
    <w:basedOn w:val="10"/>
    <w:semiHidden/>
    <w:unhideWhenUsed/>
    <w:qFormat/>
    <w:uiPriority w:val="99"/>
    <w:rPr>
      <w:rFonts w:ascii="Courier New" w:hAnsi="Courier New"/>
      <w:sz w:val="20"/>
      <w:shd w:val="clear" w:fill="000000"/>
    </w:rPr>
  </w:style>
  <w:style w:type="character" w:styleId="17">
    <w:name w:val="HTML Cite"/>
    <w:basedOn w:val="10"/>
    <w:semiHidden/>
    <w:unhideWhenUsed/>
    <w:qFormat/>
    <w:uiPriority w:val="99"/>
  </w:style>
  <w:style w:type="paragraph" w:styleId="18">
    <w:name w:val="List Paragraph"/>
    <w:basedOn w:val="1"/>
    <w:qFormat/>
    <w:uiPriority w:val="34"/>
    <w:pPr>
      <w:ind w:firstLine="420" w:firstLineChars="200"/>
    </w:pPr>
  </w:style>
  <w:style w:type="character" w:customStyle="1" w:styleId="19">
    <w:name w:val="页眉 字符"/>
    <w:basedOn w:val="10"/>
    <w:link w:val="6"/>
    <w:uiPriority w:val="99"/>
    <w:rPr>
      <w:sz w:val="18"/>
      <w:szCs w:val="18"/>
    </w:rPr>
  </w:style>
  <w:style w:type="character" w:customStyle="1" w:styleId="20">
    <w:name w:val="页脚 字符"/>
    <w:basedOn w:val="10"/>
    <w:link w:val="5"/>
    <w:uiPriority w:val="99"/>
    <w:rPr>
      <w:sz w:val="18"/>
      <w:szCs w:val="18"/>
    </w:rPr>
  </w:style>
  <w:style w:type="character" w:customStyle="1" w:styleId="21">
    <w:name w:val="标题 1 字符"/>
    <w:basedOn w:val="10"/>
    <w:link w:val="2"/>
    <w:uiPriority w:val="9"/>
    <w:rPr>
      <w:b/>
      <w:bCs/>
      <w:kern w:val="44"/>
      <w:sz w:val="44"/>
      <w:szCs w:val="44"/>
    </w:rPr>
  </w:style>
  <w:style w:type="character" w:customStyle="1" w:styleId="22">
    <w:name w:val="标题 2 字符"/>
    <w:basedOn w:val="10"/>
    <w:link w:val="3"/>
    <w:uiPriority w:val="9"/>
    <w:rPr>
      <w:rFonts w:asciiTheme="majorHAnsi" w:hAnsiTheme="majorHAnsi" w:eastAsiaTheme="majorEastAsia" w:cstheme="majorBidi"/>
      <w:b/>
      <w:bCs/>
      <w:sz w:val="32"/>
      <w:szCs w:val="32"/>
    </w:rPr>
  </w:style>
  <w:style w:type="table" w:customStyle="1" w:styleId="23">
    <w:name w:val="网格型1"/>
    <w:basedOn w:val="8"/>
    <w:uiPriority w:val="0"/>
    <w:rPr>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sumpage"/>
    <w:basedOn w:val="10"/>
    <w:qFormat/>
    <w:uiPriority w:val="0"/>
    <w:rPr>
      <w:bdr w:val="single" w:color="CCCCCC" w:sz="6" w:space="0"/>
    </w:rPr>
  </w:style>
  <w:style w:type="character" w:customStyle="1" w:styleId="25">
    <w:name w:val="pageback"/>
    <w:basedOn w:val="10"/>
    <w:uiPriority w:val="0"/>
  </w:style>
  <w:style w:type="character" w:customStyle="1" w:styleId="26">
    <w:name w:val="on"/>
    <w:basedOn w:val="10"/>
    <w:uiPriority w:val="0"/>
  </w:style>
  <w:style w:type="character" w:customStyle="1" w:styleId="27">
    <w:name w:val="on1"/>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i%20Lei\Documents\00-HRP\02-&#35843;&#30740;\&#24635;&#21153;\&#24635;&#21153;&#31185;&#19994;&#21153;&#29616;&#29366;&#21450;&#38656;&#27714;.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总务科业务现状及需求</Template>
  <Pages>10</Pages>
  <Words>310</Words>
  <Characters>1773</Characters>
  <Lines>14</Lines>
  <Paragraphs>4</Paragraphs>
  <TotalTime>12</TotalTime>
  <ScaleCrop>false</ScaleCrop>
  <LinksUpToDate>false</LinksUpToDate>
  <CharactersWithSpaces>2079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2016-02-26T03:02:00Z</dcterms:created>
  <dc:creator>Lei Bai</dc:creator>
  <cp:lastModifiedBy>园园</cp:lastModifiedBy>
  <dcterms:modified xsi:type="dcterms:W3CDTF">2020-05-08T07:24:41Z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