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Cybersecurity Policy — Clinical Systems</w:t>
      </w:r>
    </w:p>
    <w:p>
      <w:pPr>
        <w:pStyle w:val="Subtitle"/>
      </w:pPr>
      <w:r>
        <w:t>FICTIONAL HOSPITAL — TRAINING ONLY — NOT REAL PATIENT DATA</w:t>
      </w:r>
    </w:p>
    <w:p>
      <w:r>
        <w:t>Document ID: NVH-SEC-POL-001</w:t>
      </w:r>
    </w:p>
    <w:p>
      <w:r>
        <w:t>Version: 2.1</w:t>
      </w:r>
    </w:p>
    <w:p>
      <w:r>
        <w:t>Owner: Information Security Office</w:t>
      </w:r>
    </w:p>
    <w:p>
      <w:r>
        <w:t>Approved by: Chief Operating Officer, A. Al-Farsi</w:t>
      </w:r>
    </w:p>
    <w:p>
      <w:r>
        <w:t>Approval date: 2026-01-15</w:t>
      </w:r>
    </w:p>
    <w:p>
      <w:r>
        <w:t>Next review: 2027-01-15</w:t>
      </w:r>
    </w:p>
    <w:p>
      <w:pPr>
        <w:pStyle w:val="Heading1"/>
      </w:pPr>
      <w:r>
        <w:t>Purpose and scope</w:t>
      </w:r>
    </w:p>
    <w:p>
      <w:r>
        <w:t>Applies to hospital employees, agency personnel, clinical applications, and supporting infrastructure, including the Obstetrics and Gynecology (OB/GYN) department.</w:t>
      </w:r>
    </w:p>
    <w:p>
      <w:r>
        <w:t>All names, identifiers, systems and events in this file are fictional.</w:t>
      </w:r>
    </w:p>
    <w:p>
      <w:pPr>
        <w:pStyle w:val="Heading1"/>
      </w:pPr>
      <w:r>
        <w:t>Identity and access management</w:t>
      </w:r>
    </w:p>
    <w:p>
      <w:r>
        <w:t>Unique named accounts are required. Shared clinical accounts are prohibited.</w:t>
      </w:r>
    </w:p>
    <w:p>
      <w:r>
        <w:t>Role-based access is approved by the clinical manager and implemented by Information Technology (IT).</w:t>
      </w:r>
    </w:p>
    <w:p>
      <w:r>
        <w:t>Remote access and privileged administrator accounts require multi-factor authentication (MFA).</w:t>
      </w:r>
    </w:p>
    <w:p>
      <w:r>
        <w:t>Leaver access must be disabled within 24 hours of verified termination notice.</w:t>
      </w:r>
    </w:p>
    <w:p>
      <w:r>
        <w:t>Department managers must certify user access quarterly.</w:t>
      </w:r>
    </w:p>
    <w:p>
      <w:pPr>
        <w:pStyle w:val="Heading1"/>
      </w:pPr>
      <w:r>
        <w:t>Assets and monitoring</w:t>
      </w:r>
    </w:p>
    <w:p>
      <w:r>
        <w:t>Clinical devices and applications must be listed in the approved asset register with accountable owners.</w:t>
      </w:r>
    </w:p>
    <w:p>
      <w:r>
        <w:t>Security events from electronic health record (EHR), identity provider and privileged-access systems must be forwarded to central monitoring.</w:t>
      </w:r>
    </w:p>
    <w:p>
      <w:r>
        <w:t>Potential unauthorized access must be escalated to the Security Operations Center (SOC).</w:t>
      </w:r>
    </w:p>
    <w:p>
      <w:pPr>
        <w:pStyle w:val="Heading1"/>
      </w:pPr>
      <w:r>
        <w:t>Backup and incident response</w:t>
      </w:r>
    </w:p>
    <w:p>
      <w:r>
        <w:t>Critical clinical systems are backed up daily; restoration capability must be tested quarterly.</w:t>
      </w:r>
    </w:p>
    <w:p>
      <w:r>
        <w:t>Incidents must be recorded, triaged, contained, investigated and formally closed with lessons learned.</w:t>
      </w:r>
    </w:p>
    <w:p>
      <w:pPr>
        <w:pStyle w:val="Heading1"/>
      </w:pPr>
      <w:r>
        <w:t>Review and exceptions</w:t>
      </w:r>
    </w:p>
    <w:p>
      <w:r>
        <w:t>The Information Security Office reviews this policy annually and after major system or regulatory changes.</w:t>
      </w:r>
    </w:p>
    <w:p>
      <w:r>
        <w:t>Exceptions require documented risk assessment, compensating controls, an owner and expiration date.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NOURA VALLEY HOSPITAL  |  SIMULATED TRAINING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