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3CF7" w:rsidRDefault="007A3CF7" w:rsidP="007A3CF7">
      <w:pPr>
        <w:spacing w:line="360" w:lineRule="auto"/>
        <w:rPr>
          <w:b/>
          <w:bCs/>
          <w:sz w:val="24"/>
          <w:szCs w:val="24"/>
        </w:rPr>
      </w:pPr>
      <w:r>
        <w:rPr>
          <w:b/>
          <w:bCs/>
          <w:sz w:val="24"/>
          <w:szCs w:val="24"/>
        </w:rPr>
        <w:t>Assignment 3: e-Portfolio</w:t>
      </w:r>
    </w:p>
    <w:p w:rsidR="007A3CF7" w:rsidRDefault="007A3CF7" w:rsidP="007A3CF7">
      <w:pPr>
        <w:spacing w:line="360" w:lineRule="auto"/>
        <w:rPr>
          <w:sz w:val="24"/>
          <w:szCs w:val="24"/>
        </w:rPr>
      </w:pPr>
      <w:r w:rsidRPr="007A3CF7">
        <w:rPr>
          <w:sz w:val="24"/>
          <w:szCs w:val="24"/>
        </w:rPr>
        <w:t xml:space="preserve"> </w:t>
      </w:r>
      <w:hyperlink r:id="rId6" w:history="1">
        <w:r w:rsidRPr="00FA49C7">
          <w:rPr>
            <w:rStyle w:val="Hyperlink"/>
            <w:sz w:val="24"/>
            <w:szCs w:val="24"/>
          </w:rPr>
          <w:t>https://butterworthc.github.io/RMPP/e-Portfolio.html</w:t>
        </w:r>
      </w:hyperlink>
      <w:r>
        <w:rPr>
          <w:sz w:val="24"/>
          <w:szCs w:val="24"/>
        </w:rPr>
        <w:t xml:space="preserve"> </w:t>
      </w:r>
    </w:p>
    <w:p w:rsidR="0060075E" w:rsidRDefault="0060075E" w:rsidP="007A3CF7">
      <w:pPr>
        <w:spacing w:line="360" w:lineRule="auto"/>
        <w:rPr>
          <w:sz w:val="24"/>
          <w:szCs w:val="24"/>
        </w:rPr>
      </w:pPr>
      <w:r>
        <w:rPr>
          <w:sz w:val="24"/>
          <w:szCs w:val="24"/>
        </w:rPr>
        <w:t>Word count for e-Portfolio synopses:</w:t>
      </w:r>
    </w:p>
    <w:p w:rsidR="007A3CF7" w:rsidRPr="007A3CF7" w:rsidRDefault="007A3CF7" w:rsidP="007A3CF7">
      <w:pPr>
        <w:spacing w:line="360" w:lineRule="auto"/>
        <w:rPr>
          <w:sz w:val="24"/>
          <w:szCs w:val="24"/>
        </w:rPr>
      </w:pPr>
      <w:r w:rsidRPr="007A3CF7">
        <w:rPr>
          <w:sz w:val="24"/>
          <w:szCs w:val="24"/>
        </w:rPr>
        <w:drawing>
          <wp:inline distT="0" distB="0" distL="0" distR="0" wp14:anchorId="28DF8224" wp14:editId="0A5DB693">
            <wp:extent cx="1310754" cy="2819644"/>
            <wp:effectExtent l="0" t="0" r="3810" b="0"/>
            <wp:docPr id="173120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2988" name=""/>
                    <pic:cNvPicPr/>
                  </pic:nvPicPr>
                  <pic:blipFill>
                    <a:blip r:embed="rId7"/>
                    <a:stretch>
                      <a:fillRect/>
                    </a:stretch>
                  </pic:blipFill>
                  <pic:spPr>
                    <a:xfrm>
                      <a:off x="0" y="0"/>
                      <a:ext cx="1310754" cy="2819644"/>
                    </a:xfrm>
                    <a:prstGeom prst="rect">
                      <a:avLst/>
                    </a:prstGeom>
                  </pic:spPr>
                </pic:pic>
              </a:graphicData>
            </a:graphic>
          </wp:inline>
        </w:drawing>
      </w:r>
    </w:p>
    <w:p w:rsidR="0060075E" w:rsidRDefault="0060075E" w:rsidP="007A3CF7">
      <w:pPr>
        <w:pBdr>
          <w:bottom w:val="single" w:sz="6" w:space="1" w:color="auto"/>
        </w:pBdr>
        <w:spacing w:line="360" w:lineRule="auto"/>
        <w:rPr>
          <w:b/>
          <w:bCs/>
          <w:sz w:val="24"/>
          <w:szCs w:val="24"/>
        </w:rPr>
      </w:pPr>
    </w:p>
    <w:p w:rsidR="0060075E" w:rsidRDefault="0060075E" w:rsidP="007A3CF7">
      <w:pPr>
        <w:spacing w:line="360" w:lineRule="auto"/>
        <w:rPr>
          <w:b/>
          <w:bCs/>
          <w:sz w:val="24"/>
          <w:szCs w:val="24"/>
        </w:rPr>
      </w:pPr>
    </w:p>
    <w:p w:rsidR="00F30049" w:rsidRPr="007A3CF7" w:rsidRDefault="007A3CF7" w:rsidP="007A3CF7">
      <w:pPr>
        <w:spacing w:line="360" w:lineRule="auto"/>
        <w:rPr>
          <w:b/>
          <w:bCs/>
          <w:sz w:val="24"/>
          <w:szCs w:val="24"/>
        </w:rPr>
      </w:pPr>
      <w:r w:rsidRPr="007A3CF7">
        <w:rPr>
          <w:b/>
          <w:bCs/>
          <w:sz w:val="24"/>
          <w:szCs w:val="24"/>
        </w:rPr>
        <w:t>Assignment 3: Reflective Piece</w:t>
      </w:r>
      <w:r w:rsidR="0060075E">
        <w:rPr>
          <w:b/>
          <w:bCs/>
          <w:sz w:val="24"/>
          <w:szCs w:val="24"/>
        </w:rPr>
        <w:t xml:space="preserve"> </w:t>
      </w:r>
      <w:r w:rsidR="0060075E" w:rsidRPr="0060075E">
        <w:rPr>
          <w:sz w:val="24"/>
          <w:szCs w:val="24"/>
        </w:rPr>
        <w:t>[</w:t>
      </w:r>
      <w:r w:rsidR="00FA6FB1">
        <w:rPr>
          <w:sz w:val="24"/>
          <w:szCs w:val="24"/>
        </w:rPr>
        <w:t>1,004</w:t>
      </w:r>
      <w:r w:rsidR="0060075E" w:rsidRPr="0060075E">
        <w:rPr>
          <w:sz w:val="24"/>
          <w:szCs w:val="24"/>
        </w:rPr>
        <w:t xml:space="preserve"> words]</w:t>
      </w:r>
    </w:p>
    <w:p w:rsidR="007A3CF7" w:rsidRDefault="0013393B" w:rsidP="007A3CF7">
      <w:pPr>
        <w:spacing w:line="360" w:lineRule="auto"/>
        <w:rPr>
          <w:sz w:val="24"/>
          <w:szCs w:val="24"/>
        </w:rPr>
      </w:pPr>
      <w:r>
        <w:rPr>
          <w:sz w:val="24"/>
          <w:szCs w:val="24"/>
        </w:rPr>
        <w:t>As described in the University of Essex’s own guide on the subject of reflective writing (</w:t>
      </w:r>
      <w:bookmarkStart w:id="0" w:name="_Hlk196054265"/>
      <w:r>
        <w:rPr>
          <w:sz w:val="24"/>
          <w:szCs w:val="24"/>
        </w:rPr>
        <w:t>UoEO, n.d.</w:t>
      </w:r>
      <w:bookmarkEnd w:id="0"/>
      <w:r>
        <w:rPr>
          <w:sz w:val="24"/>
          <w:szCs w:val="24"/>
        </w:rPr>
        <w:t xml:space="preserve">), there are different ways of structuring </w:t>
      </w:r>
      <w:r w:rsidR="00265946">
        <w:rPr>
          <w:sz w:val="24"/>
          <w:szCs w:val="24"/>
        </w:rPr>
        <w:t xml:space="preserve">the </w:t>
      </w:r>
      <w:r>
        <w:rPr>
          <w:sz w:val="24"/>
          <w:szCs w:val="24"/>
        </w:rPr>
        <w:t>reflective p</w:t>
      </w:r>
      <w:r w:rsidR="00265946">
        <w:rPr>
          <w:sz w:val="24"/>
          <w:szCs w:val="24"/>
        </w:rPr>
        <w:t>rocess</w:t>
      </w:r>
      <w:r>
        <w:rPr>
          <w:sz w:val="24"/>
          <w:szCs w:val="24"/>
        </w:rPr>
        <w:t xml:space="preserve">, some involving a short number of linear steps and some involving iterative cycles.  My experience in software development tells me that the linear </w:t>
      </w:r>
      <w:r w:rsidR="00D24397">
        <w:rPr>
          <w:sz w:val="24"/>
          <w:szCs w:val="24"/>
        </w:rPr>
        <w:t>“waterfall”</w:t>
      </w:r>
      <w:r w:rsidR="00D24397">
        <w:rPr>
          <w:sz w:val="24"/>
          <w:szCs w:val="24"/>
        </w:rPr>
        <w:t xml:space="preserve"> </w:t>
      </w:r>
      <w:r>
        <w:rPr>
          <w:sz w:val="24"/>
          <w:szCs w:val="24"/>
        </w:rPr>
        <w:t xml:space="preserve">approach, </w:t>
      </w:r>
      <w:r w:rsidR="00C672CF">
        <w:rPr>
          <w:sz w:val="24"/>
          <w:szCs w:val="24"/>
        </w:rPr>
        <w:t xml:space="preserve">where there is little feedback between stages, and then usually only between adjacent stages, </w:t>
      </w:r>
      <w:r>
        <w:rPr>
          <w:sz w:val="24"/>
          <w:szCs w:val="24"/>
        </w:rPr>
        <w:t>can be disastrous, especially when timeboxed</w:t>
      </w:r>
      <w:r w:rsidR="00E260DB">
        <w:rPr>
          <w:sz w:val="24"/>
          <w:szCs w:val="24"/>
        </w:rPr>
        <w:t xml:space="preserve"> (Royce, 1970)</w:t>
      </w:r>
      <w:r>
        <w:rPr>
          <w:sz w:val="24"/>
          <w:szCs w:val="24"/>
        </w:rPr>
        <w:t xml:space="preserve">.  It assumes that the project stakeholders </w:t>
      </w:r>
      <w:r w:rsidR="00655E9C">
        <w:rPr>
          <w:sz w:val="24"/>
          <w:szCs w:val="24"/>
        </w:rPr>
        <w:t>can</w:t>
      </w:r>
      <w:r>
        <w:rPr>
          <w:sz w:val="24"/>
          <w:szCs w:val="24"/>
        </w:rPr>
        <w:t xml:space="preserve"> </w:t>
      </w:r>
      <w:r w:rsidR="00655E9C">
        <w:rPr>
          <w:sz w:val="24"/>
          <w:szCs w:val="24"/>
        </w:rPr>
        <w:t>produce</w:t>
      </w:r>
      <w:r>
        <w:rPr>
          <w:sz w:val="24"/>
          <w:szCs w:val="24"/>
        </w:rPr>
        <w:t xml:space="preserve"> </w:t>
      </w:r>
      <w:r w:rsidR="00E260DB">
        <w:rPr>
          <w:sz w:val="24"/>
          <w:szCs w:val="24"/>
        </w:rPr>
        <w:t xml:space="preserve">a </w:t>
      </w:r>
      <w:r w:rsidR="00655E9C">
        <w:rPr>
          <w:sz w:val="24"/>
          <w:szCs w:val="24"/>
        </w:rPr>
        <w:t xml:space="preserve">perfect </w:t>
      </w:r>
      <w:r w:rsidR="00E260DB">
        <w:rPr>
          <w:sz w:val="24"/>
          <w:szCs w:val="24"/>
        </w:rPr>
        <w:t>specification of the finished product</w:t>
      </w:r>
      <w:r w:rsidR="00D24397">
        <w:rPr>
          <w:sz w:val="24"/>
          <w:szCs w:val="24"/>
        </w:rPr>
        <w:t xml:space="preserve"> </w:t>
      </w:r>
      <w:r w:rsidR="00E260DB">
        <w:rPr>
          <w:sz w:val="24"/>
          <w:szCs w:val="24"/>
        </w:rPr>
        <w:t xml:space="preserve">before work has started.  When the project is finished and the stakeholders realise </w:t>
      </w:r>
      <w:r w:rsidR="00C672CF">
        <w:rPr>
          <w:sz w:val="24"/>
          <w:szCs w:val="24"/>
        </w:rPr>
        <w:t xml:space="preserve">that </w:t>
      </w:r>
      <w:r w:rsidR="00E260DB">
        <w:rPr>
          <w:sz w:val="24"/>
          <w:szCs w:val="24"/>
        </w:rPr>
        <w:t>they didn’t have a crystal ball after all, it is too late because the team has been disbanded and the whole thing is canned.</w:t>
      </w:r>
      <w:r w:rsidR="00C672CF">
        <w:rPr>
          <w:sz w:val="24"/>
          <w:szCs w:val="24"/>
        </w:rPr>
        <w:t xml:space="preserve">  This is why iterative processes such as Agile are superior approaches: design weaknesses and weak development can be ironed out by the frequent review of all aspects of a project</w:t>
      </w:r>
      <w:r w:rsidR="00265946">
        <w:rPr>
          <w:sz w:val="24"/>
          <w:szCs w:val="24"/>
        </w:rPr>
        <w:t xml:space="preserve"> (</w:t>
      </w:r>
      <w:r w:rsidR="00265946">
        <w:rPr>
          <w:sz w:val="24"/>
          <w:szCs w:val="24"/>
        </w:rPr>
        <w:t>Beck et al.</w:t>
      </w:r>
      <w:r w:rsidR="00265946">
        <w:rPr>
          <w:sz w:val="24"/>
          <w:szCs w:val="24"/>
        </w:rPr>
        <w:t>,</w:t>
      </w:r>
      <w:r w:rsidR="00265946">
        <w:rPr>
          <w:sz w:val="24"/>
          <w:szCs w:val="24"/>
        </w:rPr>
        <w:t xml:space="preserve"> 2001)</w:t>
      </w:r>
      <w:r w:rsidR="00C672CF">
        <w:rPr>
          <w:sz w:val="24"/>
          <w:szCs w:val="24"/>
        </w:rPr>
        <w:t xml:space="preserve">.  The same applies to the reflective process.  I believe the cyclical models will uncover more insights into the work or studies that have been performed.  In the context of this </w:t>
      </w:r>
      <w:r w:rsidR="00C672CF">
        <w:rPr>
          <w:sz w:val="24"/>
          <w:szCs w:val="24"/>
        </w:rPr>
        <w:lastRenderedPageBreak/>
        <w:t xml:space="preserve">module the problem becomes one of scale: is the cycle applied to the whole module or just individual parts of it, such as a formative activity, </w:t>
      </w:r>
      <w:r w:rsidR="00C672CF">
        <w:rPr>
          <w:sz w:val="24"/>
          <w:szCs w:val="24"/>
        </w:rPr>
        <w:t>presented as an “artefact”</w:t>
      </w:r>
      <w:r w:rsidR="00C672CF">
        <w:rPr>
          <w:sz w:val="24"/>
          <w:szCs w:val="24"/>
        </w:rPr>
        <w:t xml:space="preserve"> </w:t>
      </w:r>
      <w:r w:rsidR="00C672CF">
        <w:rPr>
          <w:sz w:val="24"/>
          <w:szCs w:val="24"/>
        </w:rPr>
        <w:t>in the e-Portfolio</w:t>
      </w:r>
      <w:r w:rsidR="00C672CF">
        <w:rPr>
          <w:sz w:val="24"/>
          <w:szCs w:val="24"/>
        </w:rPr>
        <w:t>?</w:t>
      </w:r>
      <w:r w:rsidR="006F1DC3">
        <w:rPr>
          <w:sz w:val="24"/>
          <w:szCs w:val="24"/>
        </w:rPr>
        <w:t xml:space="preserve">  </w:t>
      </w:r>
      <w:r w:rsidR="00EB5776">
        <w:rPr>
          <w:sz w:val="24"/>
          <w:szCs w:val="24"/>
        </w:rPr>
        <w:t xml:space="preserve">The solution seems to consist of a number of iterative cycles within one big cycle, </w:t>
      </w:r>
      <w:r w:rsidR="00655E9C">
        <w:rPr>
          <w:sz w:val="24"/>
          <w:szCs w:val="24"/>
        </w:rPr>
        <w:t>which</w:t>
      </w:r>
      <w:r w:rsidR="00EB5776">
        <w:rPr>
          <w:sz w:val="24"/>
          <w:szCs w:val="24"/>
        </w:rPr>
        <w:t xml:space="preserve"> is what I </w:t>
      </w:r>
      <w:r w:rsidR="00265946">
        <w:rPr>
          <w:sz w:val="24"/>
          <w:szCs w:val="24"/>
        </w:rPr>
        <w:t xml:space="preserve">have </w:t>
      </w:r>
      <w:r w:rsidR="00EB5776">
        <w:rPr>
          <w:sz w:val="24"/>
          <w:szCs w:val="24"/>
        </w:rPr>
        <w:t>attempt</w:t>
      </w:r>
      <w:r w:rsidR="00265946">
        <w:rPr>
          <w:sz w:val="24"/>
          <w:szCs w:val="24"/>
        </w:rPr>
        <w:t>ed</w:t>
      </w:r>
      <w:r w:rsidR="00EB5776">
        <w:rPr>
          <w:sz w:val="24"/>
          <w:szCs w:val="24"/>
        </w:rPr>
        <w:t>.</w:t>
      </w:r>
    </w:p>
    <w:p w:rsidR="00DC0349" w:rsidRDefault="003432D6" w:rsidP="007A3CF7">
      <w:pPr>
        <w:spacing w:line="360" w:lineRule="auto"/>
        <w:rPr>
          <w:sz w:val="24"/>
          <w:szCs w:val="24"/>
        </w:rPr>
      </w:pPr>
      <w:r>
        <w:rPr>
          <w:sz w:val="24"/>
          <w:szCs w:val="24"/>
        </w:rPr>
        <w:t>T</w:t>
      </w:r>
      <w:r w:rsidR="00FA6FB1">
        <w:rPr>
          <w:sz w:val="24"/>
          <w:szCs w:val="24"/>
        </w:rPr>
        <w:t>wo</w:t>
      </w:r>
      <w:r>
        <w:rPr>
          <w:sz w:val="24"/>
          <w:szCs w:val="24"/>
        </w:rPr>
        <w:t xml:space="preserve"> of the models</w:t>
      </w:r>
      <w:r w:rsidR="00FA6FB1">
        <w:rPr>
          <w:sz w:val="24"/>
          <w:szCs w:val="24"/>
        </w:rPr>
        <w:t>, four-stage and Gibbs (</w:t>
      </w:r>
      <w:r w:rsidR="00FA6FB1" w:rsidRPr="00FA6FB1">
        <w:rPr>
          <w:sz w:val="24"/>
          <w:szCs w:val="24"/>
        </w:rPr>
        <w:t>Gibbs, 1988)</w:t>
      </w:r>
      <w:r>
        <w:rPr>
          <w:sz w:val="24"/>
          <w:szCs w:val="24"/>
        </w:rPr>
        <w:t xml:space="preserve"> in </w:t>
      </w:r>
      <w:r>
        <w:rPr>
          <w:sz w:val="24"/>
          <w:szCs w:val="24"/>
        </w:rPr>
        <w:t xml:space="preserve">UoEO, </w:t>
      </w:r>
      <w:r>
        <w:rPr>
          <w:sz w:val="24"/>
          <w:szCs w:val="24"/>
        </w:rPr>
        <w:t>(</w:t>
      </w:r>
      <w:r>
        <w:rPr>
          <w:sz w:val="24"/>
          <w:szCs w:val="24"/>
        </w:rPr>
        <w:t>n.d.</w:t>
      </w:r>
      <w:r>
        <w:rPr>
          <w:sz w:val="24"/>
          <w:szCs w:val="24"/>
        </w:rPr>
        <w:t xml:space="preserve">) require a “description” as a starting point, so I think it would be reasonable to define this as “Develop an understanding of a) research methods and b) professional practice.  Straight away there is a division into two cycles.  </w:t>
      </w:r>
      <w:r w:rsidR="00594A1F">
        <w:rPr>
          <w:sz w:val="24"/>
          <w:szCs w:val="24"/>
        </w:rPr>
        <w:t>Most cycles have analysis and evaluation stages, and some have an action plan.</w:t>
      </w:r>
    </w:p>
    <w:p w:rsidR="00BB249F" w:rsidRDefault="003432D6" w:rsidP="007A3CF7">
      <w:pPr>
        <w:spacing w:line="360" w:lineRule="auto"/>
        <w:rPr>
          <w:sz w:val="24"/>
          <w:szCs w:val="24"/>
        </w:rPr>
      </w:pPr>
      <w:r>
        <w:rPr>
          <w:sz w:val="24"/>
          <w:szCs w:val="24"/>
        </w:rPr>
        <w:t xml:space="preserve">Within research methods there can be smaller iterative cycles </w:t>
      </w:r>
      <w:r w:rsidR="00594A1F">
        <w:rPr>
          <w:sz w:val="24"/>
          <w:szCs w:val="24"/>
        </w:rPr>
        <w:t xml:space="preserve">(also with these stages) </w:t>
      </w:r>
      <w:r>
        <w:rPr>
          <w:sz w:val="24"/>
          <w:szCs w:val="24"/>
        </w:rPr>
        <w:t>for</w:t>
      </w:r>
      <w:r w:rsidR="00BB249F">
        <w:rPr>
          <w:sz w:val="24"/>
          <w:szCs w:val="24"/>
        </w:rPr>
        <w:t xml:space="preserve"> understanding </w:t>
      </w:r>
      <w:r w:rsidR="00BB249F" w:rsidRPr="00BB249F">
        <w:rPr>
          <w:sz w:val="24"/>
          <w:szCs w:val="24"/>
        </w:rPr>
        <w:t>types of reasoning</w:t>
      </w:r>
      <w:r w:rsidR="00BB249F">
        <w:rPr>
          <w:sz w:val="24"/>
          <w:szCs w:val="24"/>
        </w:rPr>
        <w:t xml:space="preserve">, formulating a research question, performing a literature review, </w:t>
      </w:r>
      <w:r w:rsidR="002E7CBF">
        <w:rPr>
          <w:sz w:val="24"/>
          <w:szCs w:val="24"/>
        </w:rPr>
        <w:t xml:space="preserve">selecting a research methodology, </w:t>
      </w:r>
      <w:r w:rsidR="00BB249F">
        <w:rPr>
          <w:sz w:val="24"/>
          <w:szCs w:val="24"/>
        </w:rPr>
        <w:t>developing a research proposal</w:t>
      </w:r>
      <w:r w:rsidR="002E7CBF">
        <w:rPr>
          <w:sz w:val="24"/>
          <w:szCs w:val="24"/>
        </w:rPr>
        <w:t xml:space="preserve">, using statistics, completing worksheets, </w:t>
      </w:r>
      <w:r w:rsidR="00DC0349">
        <w:rPr>
          <w:sz w:val="24"/>
          <w:szCs w:val="24"/>
        </w:rPr>
        <w:t>visualising and presenting results.</w:t>
      </w:r>
    </w:p>
    <w:p w:rsidR="00BB249F" w:rsidRDefault="00BB249F" w:rsidP="007A3CF7">
      <w:pPr>
        <w:spacing w:line="360" w:lineRule="auto"/>
        <w:rPr>
          <w:sz w:val="24"/>
          <w:szCs w:val="24"/>
        </w:rPr>
      </w:pPr>
      <w:r>
        <w:rPr>
          <w:sz w:val="24"/>
          <w:szCs w:val="24"/>
        </w:rPr>
        <w:t xml:space="preserve">Within the professional practice loop there are cycles for developing an ethical outlook to AI, </w:t>
      </w:r>
      <w:r w:rsidR="002E7CBF">
        <w:rPr>
          <w:sz w:val="24"/>
          <w:szCs w:val="24"/>
        </w:rPr>
        <w:t>the formulation of my solutions for the c</w:t>
      </w:r>
      <w:r w:rsidR="002E7CBF" w:rsidRPr="002E7CBF">
        <w:rPr>
          <w:sz w:val="24"/>
          <w:szCs w:val="24"/>
        </w:rPr>
        <w:t xml:space="preserve">ase </w:t>
      </w:r>
      <w:r w:rsidR="002E7CBF">
        <w:rPr>
          <w:sz w:val="24"/>
          <w:szCs w:val="24"/>
        </w:rPr>
        <w:t>s</w:t>
      </w:r>
      <w:r w:rsidR="002E7CBF" w:rsidRPr="002E7CBF">
        <w:rPr>
          <w:sz w:val="24"/>
          <w:szCs w:val="24"/>
        </w:rPr>
        <w:t>tud</w:t>
      </w:r>
      <w:r w:rsidR="002E7CBF">
        <w:rPr>
          <w:sz w:val="24"/>
          <w:szCs w:val="24"/>
        </w:rPr>
        <w:t>ies</w:t>
      </w:r>
      <w:r w:rsidR="002E7CBF" w:rsidRPr="002E7CBF">
        <w:rPr>
          <w:sz w:val="24"/>
          <w:szCs w:val="24"/>
        </w:rPr>
        <w:t xml:space="preserve"> on </w:t>
      </w:r>
      <w:r w:rsidR="002E7CBF">
        <w:rPr>
          <w:sz w:val="24"/>
          <w:szCs w:val="24"/>
        </w:rPr>
        <w:t>e</w:t>
      </w:r>
      <w:r w:rsidR="002E7CBF" w:rsidRPr="002E7CBF">
        <w:rPr>
          <w:sz w:val="24"/>
          <w:szCs w:val="24"/>
        </w:rPr>
        <w:t xml:space="preserve">thics in </w:t>
      </w:r>
      <w:r w:rsidR="002E7CBF">
        <w:rPr>
          <w:sz w:val="24"/>
          <w:szCs w:val="24"/>
        </w:rPr>
        <w:t>c</w:t>
      </w:r>
      <w:r w:rsidR="002E7CBF" w:rsidRPr="002E7CBF">
        <w:rPr>
          <w:sz w:val="24"/>
          <w:szCs w:val="24"/>
        </w:rPr>
        <w:t xml:space="preserve">omputing in the age of </w:t>
      </w:r>
      <w:r w:rsidR="002E7CBF">
        <w:rPr>
          <w:sz w:val="24"/>
          <w:szCs w:val="24"/>
        </w:rPr>
        <w:t>g</w:t>
      </w:r>
      <w:r w:rsidR="002E7CBF" w:rsidRPr="002E7CBF">
        <w:rPr>
          <w:sz w:val="24"/>
          <w:szCs w:val="24"/>
        </w:rPr>
        <w:t>enerative AI</w:t>
      </w:r>
      <w:r w:rsidR="002E7CBF">
        <w:rPr>
          <w:sz w:val="24"/>
          <w:szCs w:val="24"/>
        </w:rPr>
        <w:t>, the one on p</w:t>
      </w:r>
      <w:r w:rsidR="002E7CBF" w:rsidRPr="002E7CBF">
        <w:rPr>
          <w:sz w:val="24"/>
          <w:szCs w:val="24"/>
        </w:rPr>
        <w:t>rivacy</w:t>
      </w:r>
      <w:r w:rsidR="002E7CBF">
        <w:rPr>
          <w:sz w:val="24"/>
          <w:szCs w:val="24"/>
        </w:rPr>
        <w:t xml:space="preserve">, involving </w:t>
      </w:r>
      <w:r w:rsidR="002E7CBF" w:rsidRPr="002E7CBF">
        <w:rPr>
          <w:sz w:val="24"/>
          <w:szCs w:val="24"/>
        </w:rPr>
        <w:t>names and addresses</w:t>
      </w:r>
      <w:r w:rsidR="002E7CBF">
        <w:rPr>
          <w:sz w:val="24"/>
          <w:szCs w:val="24"/>
        </w:rPr>
        <w:t>, the one on autonomous armed robots</w:t>
      </w:r>
      <w:r w:rsidR="00D24397">
        <w:rPr>
          <w:sz w:val="24"/>
          <w:szCs w:val="24"/>
        </w:rPr>
        <w:t>, and</w:t>
      </w:r>
      <w:r w:rsidR="002E7CBF">
        <w:rPr>
          <w:sz w:val="24"/>
          <w:szCs w:val="24"/>
        </w:rPr>
        <w:t xml:space="preserve"> the inappropriate use of surveys.</w:t>
      </w:r>
      <w:r w:rsidR="00DC0349">
        <w:rPr>
          <w:sz w:val="24"/>
          <w:szCs w:val="24"/>
        </w:rPr>
        <w:t xml:space="preserve">  </w:t>
      </w:r>
      <w:r w:rsidR="00D24397">
        <w:rPr>
          <w:sz w:val="24"/>
          <w:szCs w:val="24"/>
        </w:rPr>
        <w:t>Aspects of p</w:t>
      </w:r>
      <w:r w:rsidR="00DC0349">
        <w:rPr>
          <w:sz w:val="24"/>
          <w:szCs w:val="24"/>
        </w:rPr>
        <w:t>roject management fit into either loop.</w:t>
      </w:r>
    </w:p>
    <w:p w:rsidR="00DC0349" w:rsidRDefault="00DC0349" w:rsidP="007A3CF7">
      <w:pPr>
        <w:spacing w:line="360" w:lineRule="auto"/>
        <w:rPr>
          <w:sz w:val="24"/>
          <w:szCs w:val="24"/>
        </w:rPr>
      </w:pPr>
      <w:r>
        <w:rPr>
          <w:sz w:val="24"/>
          <w:szCs w:val="24"/>
        </w:rPr>
        <w:t>There is not enough space to trace each iteration but I can give the resulting lessons learned and some insight into how I got there.</w:t>
      </w:r>
      <w:r w:rsidR="00D84301">
        <w:rPr>
          <w:sz w:val="24"/>
          <w:szCs w:val="24"/>
        </w:rPr>
        <w:t xml:space="preserve">  The overall situation was that I needed to pass this module not only to progress to a MSc project </w:t>
      </w:r>
      <w:r w:rsidR="00A45753">
        <w:rPr>
          <w:sz w:val="24"/>
          <w:szCs w:val="24"/>
        </w:rPr>
        <w:t xml:space="preserve">at UoEO, </w:t>
      </w:r>
      <w:r w:rsidR="00D84301">
        <w:rPr>
          <w:sz w:val="24"/>
          <w:szCs w:val="24"/>
        </w:rPr>
        <w:t xml:space="preserve">but also to make sure I would be </w:t>
      </w:r>
      <w:r w:rsidR="00A45753">
        <w:rPr>
          <w:sz w:val="24"/>
          <w:szCs w:val="24"/>
        </w:rPr>
        <w:t>comfortable with the university’s way of going about such projects.</w:t>
      </w:r>
      <w:r w:rsidR="006D08B3">
        <w:rPr>
          <w:sz w:val="24"/>
          <w:szCs w:val="24"/>
        </w:rPr>
        <w:t xml:space="preserve">  I already had a MS from an American university, but the tutor was very hands-on, which I appreciated at the time, but which did not expose me to managing my research project unaided.  Indeed, </w:t>
      </w:r>
      <w:r w:rsidR="009F579E">
        <w:rPr>
          <w:sz w:val="24"/>
          <w:szCs w:val="24"/>
        </w:rPr>
        <w:t xml:space="preserve">I was expert at </w:t>
      </w:r>
      <w:r w:rsidR="006D08B3">
        <w:rPr>
          <w:sz w:val="24"/>
          <w:szCs w:val="24"/>
        </w:rPr>
        <w:t xml:space="preserve">neither “research methods” nor “professional practice” </w:t>
      </w:r>
      <w:r w:rsidR="009F579E">
        <w:rPr>
          <w:sz w:val="24"/>
          <w:szCs w:val="24"/>
        </w:rPr>
        <w:t>whe</w:t>
      </w:r>
      <w:r w:rsidR="006D08B3">
        <w:rPr>
          <w:sz w:val="24"/>
          <w:szCs w:val="24"/>
        </w:rPr>
        <w:t>n the module started</w:t>
      </w:r>
      <w:r w:rsidR="009F579E">
        <w:rPr>
          <w:sz w:val="24"/>
          <w:szCs w:val="24"/>
        </w:rPr>
        <w:t>, although I had experience of research.</w:t>
      </w:r>
    </w:p>
    <w:p w:rsidR="00EB5776" w:rsidRDefault="009F579E" w:rsidP="007A3CF7">
      <w:pPr>
        <w:spacing w:line="360" w:lineRule="auto"/>
        <w:rPr>
          <w:sz w:val="24"/>
          <w:szCs w:val="24"/>
        </w:rPr>
      </w:pPr>
      <w:r>
        <w:rPr>
          <w:sz w:val="24"/>
          <w:szCs w:val="24"/>
        </w:rPr>
        <w:t xml:space="preserve">The research methods cycle got off to a solid start, with comparisons of inductive vs deductive logic, as well as qualitative vs quantitative data and their analysis methods.  This enabled me to reflect on my MS thesis, which had been on geochemistry, relying on </w:t>
      </w:r>
      <w:r w:rsidRPr="009F579E">
        <w:rPr>
          <w:sz w:val="24"/>
          <w:szCs w:val="24"/>
        </w:rPr>
        <w:t>Energy-Dispersive X-ray Spectroscopy</w:t>
      </w:r>
      <w:r>
        <w:rPr>
          <w:sz w:val="24"/>
          <w:szCs w:val="24"/>
        </w:rPr>
        <w:t xml:space="preserve"> to generate </w:t>
      </w:r>
      <w:r w:rsidR="00FA2FA3">
        <w:rPr>
          <w:sz w:val="24"/>
          <w:szCs w:val="24"/>
        </w:rPr>
        <w:t xml:space="preserve">data in the form of counts of reflected electrons </w:t>
      </w:r>
      <w:r w:rsidR="00FA2FA3">
        <w:rPr>
          <w:sz w:val="24"/>
          <w:szCs w:val="24"/>
        </w:rPr>
        <w:lastRenderedPageBreak/>
        <w:t>of different energies.  This was quantitative data and I went through my thesis confirming that the appropriate analysis methods had been used.</w:t>
      </w:r>
      <w:r w:rsidR="00FC75A9">
        <w:rPr>
          <w:sz w:val="24"/>
          <w:szCs w:val="24"/>
        </w:rPr>
        <w:t xml:space="preserve">  Looking ahead to my next project and assuming it, too, will be quantitative, I appreciated the units covering statistical analysis of this type of data.  The techniques presented here built on those introduced in the Numerical Analysis module, and in both modules, I </w:t>
      </w:r>
      <w:r w:rsidR="000A7A84">
        <w:rPr>
          <w:sz w:val="24"/>
          <w:szCs w:val="24"/>
        </w:rPr>
        <w:t>was anxious</w:t>
      </w:r>
      <w:r w:rsidR="00FC75A9">
        <w:rPr>
          <w:sz w:val="24"/>
          <w:szCs w:val="24"/>
        </w:rPr>
        <w:t xml:space="preserve"> to make sure I was understanding the statistical significance tests.  I discovered that I did not like </w:t>
      </w:r>
      <w:r w:rsidR="008E2EFD">
        <w:rPr>
          <w:sz w:val="24"/>
          <w:szCs w:val="24"/>
        </w:rPr>
        <w:t xml:space="preserve">performing these in </w:t>
      </w:r>
      <w:r w:rsidR="00184804">
        <w:rPr>
          <w:sz w:val="24"/>
          <w:szCs w:val="24"/>
        </w:rPr>
        <w:t>spreadsheets</w:t>
      </w:r>
      <w:r w:rsidR="008E2EFD">
        <w:rPr>
          <w:sz w:val="24"/>
          <w:szCs w:val="24"/>
        </w:rPr>
        <w:t xml:space="preserve"> as much as in Python</w:t>
      </w:r>
      <w:r w:rsidR="00184804">
        <w:rPr>
          <w:sz w:val="24"/>
          <w:szCs w:val="24"/>
        </w:rPr>
        <w:t xml:space="preserve"> notebooks, </w:t>
      </w:r>
      <w:r w:rsidR="006B06ED">
        <w:rPr>
          <w:sz w:val="24"/>
          <w:szCs w:val="24"/>
        </w:rPr>
        <w:t xml:space="preserve">where all the </w:t>
      </w:r>
      <w:r w:rsidR="002B6906">
        <w:rPr>
          <w:sz w:val="24"/>
          <w:szCs w:val="24"/>
        </w:rPr>
        <w:t>steps</w:t>
      </w:r>
      <w:r w:rsidR="006B06ED">
        <w:rPr>
          <w:sz w:val="24"/>
          <w:szCs w:val="24"/>
        </w:rPr>
        <w:t xml:space="preserve"> are visible, </w:t>
      </w:r>
      <w:r w:rsidR="00184804">
        <w:rPr>
          <w:sz w:val="24"/>
          <w:szCs w:val="24"/>
        </w:rPr>
        <w:t xml:space="preserve">and there was also the problem of my copy of Excel not having the menu options </w:t>
      </w:r>
      <w:r w:rsidR="00ED3202">
        <w:rPr>
          <w:sz w:val="24"/>
          <w:szCs w:val="24"/>
        </w:rPr>
        <w:t>mentioned by</w:t>
      </w:r>
      <w:r w:rsidR="00184804">
        <w:rPr>
          <w:sz w:val="24"/>
          <w:szCs w:val="24"/>
        </w:rPr>
        <w:t xml:space="preserve"> the worksheet instructions, so I was grateful for the </w:t>
      </w:r>
      <w:r w:rsidR="00ED3202">
        <w:rPr>
          <w:sz w:val="24"/>
          <w:szCs w:val="24"/>
        </w:rPr>
        <w:t xml:space="preserve">LibreOffice </w:t>
      </w:r>
      <w:r w:rsidR="00184804">
        <w:rPr>
          <w:sz w:val="24"/>
          <w:szCs w:val="24"/>
        </w:rPr>
        <w:t>instructions</w:t>
      </w:r>
      <w:r w:rsidR="008E2EFD">
        <w:rPr>
          <w:sz w:val="24"/>
          <w:szCs w:val="24"/>
        </w:rPr>
        <w:t>.</w:t>
      </w:r>
      <w:r w:rsidR="00184804">
        <w:rPr>
          <w:sz w:val="24"/>
          <w:szCs w:val="24"/>
        </w:rPr>
        <w:t xml:space="preserve">  The table of visualisations for different variable types was very handy and I shall refer to it in the future.</w:t>
      </w:r>
      <w:r w:rsidR="006B06ED">
        <w:rPr>
          <w:sz w:val="24"/>
          <w:szCs w:val="24"/>
        </w:rPr>
        <w:t xml:space="preserve">  It was also instructive to go through the </w:t>
      </w:r>
      <w:proofErr w:type="spellStart"/>
      <w:r w:rsidR="006B06ED">
        <w:rPr>
          <w:sz w:val="24"/>
          <w:szCs w:val="24"/>
        </w:rPr>
        <w:t>PowerBI</w:t>
      </w:r>
      <w:proofErr w:type="spellEnd"/>
      <w:r w:rsidR="006B06ED">
        <w:rPr>
          <w:rFonts w:cstheme="minorHAnsi"/>
          <w:sz w:val="24"/>
          <w:szCs w:val="24"/>
        </w:rPr>
        <w:t>™</w:t>
      </w:r>
      <w:r w:rsidR="006B06ED">
        <w:rPr>
          <w:sz w:val="24"/>
          <w:szCs w:val="24"/>
        </w:rPr>
        <w:t xml:space="preserve"> exercises, and I know from the job descriptions I get sent that it is an in-demand skill</w:t>
      </w:r>
      <w:r w:rsidR="00677054">
        <w:rPr>
          <w:sz w:val="24"/>
          <w:szCs w:val="24"/>
        </w:rPr>
        <w:t>, so I shall continue to use it.</w:t>
      </w:r>
    </w:p>
    <w:p w:rsidR="00184804" w:rsidRDefault="00A90FB2" w:rsidP="007A3CF7">
      <w:pPr>
        <w:spacing w:line="360" w:lineRule="auto"/>
        <w:rPr>
          <w:sz w:val="24"/>
          <w:szCs w:val="24"/>
        </w:rPr>
      </w:pPr>
      <w:r>
        <w:rPr>
          <w:sz w:val="24"/>
          <w:szCs w:val="24"/>
        </w:rPr>
        <w:t>My time management during this module was good enough to meet the deadlines, although I could have gained more by allocating more time to every activity.  I regret not making my initial post to the second collaborative discussion earlier, because most peer responses had already been made and I lost out on those.  Next time I will jump in sooner.</w:t>
      </w:r>
    </w:p>
    <w:p w:rsidR="00433331" w:rsidRDefault="002B6906" w:rsidP="007A3CF7">
      <w:pPr>
        <w:spacing w:line="360" w:lineRule="auto"/>
        <w:rPr>
          <w:sz w:val="24"/>
          <w:szCs w:val="24"/>
        </w:rPr>
      </w:pPr>
      <w:r>
        <w:rPr>
          <w:sz w:val="24"/>
          <w:szCs w:val="24"/>
        </w:rPr>
        <w:t>T</w:t>
      </w:r>
      <w:r w:rsidR="00433331">
        <w:rPr>
          <w:sz w:val="24"/>
          <w:szCs w:val="24"/>
        </w:rPr>
        <w:t xml:space="preserve">he biggest lessons for me were in the areas of project proposals, project planning, and literature reviews.  The chapters on these in Dawson (2015) were very thorough and I shall refer back to them during my research project.  Also new </w:t>
      </w:r>
      <w:r w:rsidR="00673816">
        <w:rPr>
          <w:sz w:val="24"/>
          <w:szCs w:val="24"/>
        </w:rPr>
        <w:t xml:space="preserve">to me </w:t>
      </w:r>
      <w:r w:rsidR="00433331">
        <w:rPr>
          <w:sz w:val="24"/>
          <w:szCs w:val="24"/>
        </w:rPr>
        <w:t xml:space="preserve">were the ethical codes of </w:t>
      </w:r>
      <w:r w:rsidR="00673816">
        <w:rPr>
          <w:sz w:val="24"/>
          <w:szCs w:val="24"/>
        </w:rPr>
        <w:t>the Association of Computing Machinery (ACM, 2018), the American Statistical Association (ASA, 2022) and the British Computer Society (</w:t>
      </w:r>
      <w:r w:rsidR="00673816" w:rsidRPr="00673816">
        <w:rPr>
          <w:sz w:val="24"/>
          <w:szCs w:val="24"/>
        </w:rPr>
        <w:t>BCS</w:t>
      </w:r>
      <w:r w:rsidR="00673816">
        <w:rPr>
          <w:sz w:val="24"/>
          <w:szCs w:val="24"/>
        </w:rPr>
        <w:t>,</w:t>
      </w:r>
      <w:r w:rsidR="00673816" w:rsidRPr="00673816">
        <w:rPr>
          <w:sz w:val="24"/>
          <w:szCs w:val="24"/>
        </w:rPr>
        <w:t xml:space="preserve"> 2022)</w:t>
      </w:r>
      <w:r w:rsidR="00673816">
        <w:rPr>
          <w:sz w:val="24"/>
          <w:szCs w:val="24"/>
        </w:rPr>
        <w:t>.  As for GDPR, I was working in the United States when this regulation was imposed (</w:t>
      </w:r>
      <w:r w:rsidR="00673816" w:rsidRPr="00673816">
        <w:rPr>
          <w:sz w:val="24"/>
          <w:szCs w:val="24"/>
        </w:rPr>
        <w:t>European Union</w:t>
      </w:r>
      <w:r w:rsidR="00673816">
        <w:rPr>
          <w:sz w:val="24"/>
          <w:szCs w:val="24"/>
        </w:rPr>
        <w:t>,</w:t>
      </w:r>
      <w:r w:rsidR="00673816" w:rsidRPr="00673816">
        <w:rPr>
          <w:sz w:val="24"/>
          <w:szCs w:val="24"/>
        </w:rPr>
        <w:t xml:space="preserve"> 2016</w:t>
      </w:r>
      <w:r w:rsidR="00673816">
        <w:rPr>
          <w:sz w:val="24"/>
          <w:szCs w:val="24"/>
        </w:rPr>
        <w:t>)</w:t>
      </w:r>
      <w:r w:rsidR="00CC52D1">
        <w:rPr>
          <w:sz w:val="24"/>
          <w:szCs w:val="24"/>
        </w:rPr>
        <w:t xml:space="preserve"> and had not taken the trouble to familiarise myself with it until now.</w:t>
      </w:r>
      <w:r w:rsidR="00D24397">
        <w:rPr>
          <w:sz w:val="24"/>
          <w:szCs w:val="24"/>
        </w:rPr>
        <w:t xml:space="preserve">  </w:t>
      </w:r>
      <w:r w:rsidR="000A7A84">
        <w:rPr>
          <w:sz w:val="24"/>
          <w:szCs w:val="24"/>
        </w:rPr>
        <w:t>I am now satisfied that i</w:t>
      </w:r>
      <w:r w:rsidR="00D24397">
        <w:rPr>
          <w:sz w:val="24"/>
          <w:szCs w:val="24"/>
        </w:rPr>
        <w:t xml:space="preserve">n my future work I </w:t>
      </w:r>
      <w:r w:rsidR="000A7A84">
        <w:rPr>
          <w:sz w:val="24"/>
          <w:szCs w:val="24"/>
        </w:rPr>
        <w:t>can abide by these codes</w:t>
      </w:r>
      <w:r w:rsidR="00D24397">
        <w:rPr>
          <w:sz w:val="24"/>
          <w:szCs w:val="24"/>
        </w:rPr>
        <w:t>.</w:t>
      </w:r>
    </w:p>
    <w:p w:rsidR="00184804" w:rsidRDefault="00677054" w:rsidP="007A3CF7">
      <w:pPr>
        <w:spacing w:line="360" w:lineRule="auto"/>
        <w:rPr>
          <w:sz w:val="24"/>
          <w:szCs w:val="24"/>
        </w:rPr>
      </w:pPr>
      <w:r>
        <w:rPr>
          <w:sz w:val="24"/>
          <w:szCs w:val="24"/>
        </w:rPr>
        <w:t xml:space="preserve">This module combined areas I knew about, such as quantitative data and its analysis, with others such as qualitative data.  </w:t>
      </w:r>
      <w:r w:rsidR="000A7A84">
        <w:rPr>
          <w:sz w:val="24"/>
          <w:szCs w:val="24"/>
        </w:rPr>
        <w:t>O</w:t>
      </w:r>
      <w:r>
        <w:rPr>
          <w:sz w:val="24"/>
          <w:szCs w:val="24"/>
        </w:rPr>
        <w:t xml:space="preserve">ther things that were new to me, such as </w:t>
      </w:r>
      <w:proofErr w:type="spellStart"/>
      <w:r>
        <w:rPr>
          <w:sz w:val="24"/>
          <w:szCs w:val="24"/>
        </w:rPr>
        <w:t>PowerBI</w:t>
      </w:r>
      <w:proofErr w:type="spellEnd"/>
      <w:r>
        <w:rPr>
          <w:rFonts w:cstheme="minorHAnsi"/>
          <w:sz w:val="24"/>
          <w:szCs w:val="24"/>
        </w:rPr>
        <w:t>™</w:t>
      </w:r>
      <w:r>
        <w:rPr>
          <w:sz w:val="24"/>
          <w:szCs w:val="24"/>
        </w:rPr>
        <w:t xml:space="preserve"> and the focus on ethics, but the pace was rapid, and I believe the most useful reflections on the module have yet to be made, after a period of less forced digestion.</w:t>
      </w:r>
    </w:p>
    <w:p w:rsidR="0060075E" w:rsidRDefault="0060075E" w:rsidP="007A3CF7">
      <w:pPr>
        <w:spacing w:line="360" w:lineRule="auto"/>
        <w:rPr>
          <w:sz w:val="24"/>
          <w:szCs w:val="24"/>
        </w:rPr>
      </w:pPr>
    </w:p>
    <w:p w:rsidR="00E260DB" w:rsidRDefault="00E260DB">
      <w:pPr>
        <w:rPr>
          <w:b/>
          <w:bCs/>
          <w:sz w:val="24"/>
          <w:szCs w:val="24"/>
        </w:rPr>
      </w:pPr>
      <w:r>
        <w:rPr>
          <w:b/>
          <w:bCs/>
          <w:sz w:val="24"/>
          <w:szCs w:val="24"/>
        </w:rPr>
        <w:br w:type="page"/>
      </w:r>
    </w:p>
    <w:p w:rsidR="0060075E" w:rsidRPr="0060075E" w:rsidRDefault="0060075E" w:rsidP="007A3CF7">
      <w:pPr>
        <w:spacing w:line="360" w:lineRule="auto"/>
        <w:rPr>
          <w:b/>
          <w:bCs/>
          <w:sz w:val="24"/>
          <w:szCs w:val="24"/>
        </w:rPr>
      </w:pPr>
      <w:r w:rsidRPr="0060075E">
        <w:rPr>
          <w:b/>
          <w:bCs/>
          <w:sz w:val="24"/>
          <w:szCs w:val="24"/>
        </w:rPr>
        <w:lastRenderedPageBreak/>
        <w:t>References</w:t>
      </w:r>
    </w:p>
    <w:p w:rsidR="00673816" w:rsidRDefault="00673816" w:rsidP="007A3CF7">
      <w:pPr>
        <w:spacing w:line="360" w:lineRule="auto"/>
        <w:rPr>
          <w:sz w:val="24"/>
          <w:szCs w:val="24"/>
        </w:rPr>
      </w:pPr>
      <w:r w:rsidRPr="00673816">
        <w:rPr>
          <w:sz w:val="24"/>
          <w:szCs w:val="24"/>
        </w:rPr>
        <w:t xml:space="preserve">ACM. (2018) ACM Code of Ethics and Professional Conduct. Available from: </w:t>
      </w:r>
      <w:hyperlink r:id="rId8" w:history="1">
        <w:r w:rsidRPr="00673816">
          <w:rPr>
            <w:rStyle w:val="Hyperlink"/>
            <w:sz w:val="24"/>
            <w:szCs w:val="24"/>
          </w:rPr>
          <w:t>https://www.acm.org/code-of-ethics</w:t>
        </w:r>
      </w:hyperlink>
      <w:r w:rsidRPr="00673816">
        <w:rPr>
          <w:sz w:val="24"/>
          <w:szCs w:val="24"/>
        </w:rPr>
        <w:t xml:space="preserve"> [Accessed 31 January 2025].</w:t>
      </w:r>
    </w:p>
    <w:p w:rsidR="00673816" w:rsidRDefault="00673816" w:rsidP="007A3CF7">
      <w:pPr>
        <w:spacing w:line="360" w:lineRule="auto"/>
        <w:rPr>
          <w:sz w:val="24"/>
          <w:szCs w:val="24"/>
        </w:rPr>
      </w:pPr>
      <w:r w:rsidRPr="00673816">
        <w:rPr>
          <w:sz w:val="24"/>
          <w:szCs w:val="24"/>
        </w:rPr>
        <w:t xml:space="preserve">ASA. (2022) Ethical Guidelines for Statistical Practice. Available from: </w:t>
      </w:r>
      <w:hyperlink r:id="rId9" w:history="1">
        <w:r w:rsidRPr="00673816">
          <w:rPr>
            <w:rStyle w:val="Hyperlink"/>
            <w:sz w:val="24"/>
            <w:szCs w:val="24"/>
          </w:rPr>
          <w:t>www.amstat.org/ASA/Your-Career/Ethical-Guidelines-for-Statistical-Practice.aspx</w:t>
        </w:r>
      </w:hyperlink>
      <w:r w:rsidRPr="00673816">
        <w:rPr>
          <w:sz w:val="24"/>
          <w:szCs w:val="24"/>
        </w:rPr>
        <w:t xml:space="preserve"> [Accessed 20 March 2025].</w:t>
      </w:r>
    </w:p>
    <w:p w:rsidR="00CC52D1" w:rsidRDefault="00CC52D1" w:rsidP="007A3CF7">
      <w:pPr>
        <w:spacing w:line="360" w:lineRule="auto"/>
        <w:rPr>
          <w:sz w:val="24"/>
          <w:szCs w:val="24"/>
        </w:rPr>
      </w:pPr>
      <w:r w:rsidRPr="00CC52D1">
        <w:rPr>
          <w:sz w:val="24"/>
          <w:szCs w:val="24"/>
        </w:rPr>
        <w:t xml:space="preserve">BCS. (2022) BCS, The Chartered Institute for IT. The Code of Conduct. Available from: </w:t>
      </w:r>
      <w:hyperlink r:id="rId10" w:history="1">
        <w:r w:rsidRPr="00FA49C7">
          <w:rPr>
            <w:rStyle w:val="Hyperlink"/>
            <w:sz w:val="24"/>
            <w:szCs w:val="24"/>
          </w:rPr>
          <w:t>https://www.bcs.org/media/2211/bcs-code-of-conduct.pdf</w:t>
        </w:r>
      </w:hyperlink>
      <w:r>
        <w:rPr>
          <w:sz w:val="24"/>
          <w:szCs w:val="24"/>
        </w:rPr>
        <w:t xml:space="preserve"> </w:t>
      </w:r>
      <w:r w:rsidRPr="00CC52D1">
        <w:rPr>
          <w:sz w:val="24"/>
          <w:szCs w:val="24"/>
        </w:rPr>
        <w:t>[Accessed 1 February 2025].</w:t>
      </w:r>
    </w:p>
    <w:p w:rsidR="00C672CF" w:rsidRDefault="00C672CF" w:rsidP="007A3CF7">
      <w:pPr>
        <w:spacing w:line="360" w:lineRule="auto"/>
        <w:rPr>
          <w:sz w:val="24"/>
          <w:szCs w:val="24"/>
        </w:rPr>
      </w:pPr>
      <w:r>
        <w:rPr>
          <w:sz w:val="24"/>
          <w:szCs w:val="24"/>
        </w:rPr>
        <w:t xml:space="preserve">Beck, K. et al. (2001) </w:t>
      </w:r>
      <w:r w:rsidRPr="00C672CF">
        <w:rPr>
          <w:sz w:val="24"/>
          <w:szCs w:val="24"/>
        </w:rPr>
        <w:t>Manifesto for Agile Software Development</w:t>
      </w:r>
      <w:r>
        <w:rPr>
          <w:sz w:val="24"/>
          <w:szCs w:val="24"/>
        </w:rPr>
        <w:t xml:space="preserve">. Available from: </w:t>
      </w:r>
      <w:hyperlink r:id="rId11" w:history="1">
        <w:r w:rsidRPr="00FA49C7">
          <w:rPr>
            <w:rStyle w:val="Hyperlink"/>
            <w:sz w:val="24"/>
            <w:szCs w:val="24"/>
          </w:rPr>
          <w:t>https://agilemanifesto.org/</w:t>
        </w:r>
      </w:hyperlink>
      <w:r>
        <w:rPr>
          <w:sz w:val="24"/>
          <w:szCs w:val="24"/>
        </w:rPr>
        <w:t xml:space="preserve"> [Accessed 6 April 2025].</w:t>
      </w:r>
    </w:p>
    <w:p w:rsidR="00433331" w:rsidRDefault="00433331" w:rsidP="007A3CF7">
      <w:pPr>
        <w:spacing w:line="360" w:lineRule="auto"/>
        <w:rPr>
          <w:sz w:val="24"/>
          <w:szCs w:val="24"/>
        </w:rPr>
      </w:pPr>
      <w:r w:rsidRPr="00433331">
        <w:rPr>
          <w:sz w:val="24"/>
          <w:szCs w:val="24"/>
        </w:rPr>
        <w:t xml:space="preserve">Dawson, C. (2015) </w:t>
      </w:r>
      <w:r w:rsidRPr="00433331">
        <w:rPr>
          <w:i/>
          <w:iCs/>
          <w:sz w:val="24"/>
          <w:szCs w:val="24"/>
        </w:rPr>
        <w:t>Projects in Computing and Information Systems: A Student's Guide</w:t>
      </w:r>
      <w:r w:rsidRPr="00433331">
        <w:rPr>
          <w:sz w:val="24"/>
          <w:szCs w:val="24"/>
        </w:rPr>
        <w:t>. Harlow: Pearson.</w:t>
      </w:r>
    </w:p>
    <w:p w:rsidR="00CC52D1" w:rsidRDefault="00CC52D1" w:rsidP="007A3CF7">
      <w:pPr>
        <w:spacing w:line="360" w:lineRule="auto"/>
        <w:rPr>
          <w:sz w:val="24"/>
          <w:szCs w:val="24"/>
        </w:rPr>
      </w:pPr>
      <w:r w:rsidRPr="00CC52D1">
        <w:rPr>
          <w:sz w:val="24"/>
          <w:szCs w:val="24"/>
        </w:rPr>
        <w:t xml:space="preserve">European Union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 119, 4 May, pp. 1-88. Available from: </w:t>
      </w:r>
      <w:hyperlink r:id="rId12" w:history="1">
        <w:r w:rsidRPr="00CC52D1">
          <w:rPr>
            <w:rStyle w:val="Hyperlink"/>
            <w:sz w:val="24"/>
            <w:szCs w:val="24"/>
          </w:rPr>
          <w:t>https://eur-lex.europa.eu/eli/reg/2016/679/oj</w:t>
        </w:r>
      </w:hyperlink>
      <w:r w:rsidRPr="00CC52D1">
        <w:rPr>
          <w:sz w:val="24"/>
          <w:szCs w:val="24"/>
        </w:rPr>
        <w:t xml:space="preserve"> [Accessed: 19 February 2025].</w:t>
      </w:r>
    </w:p>
    <w:p w:rsidR="00FA6FB1" w:rsidRDefault="00FA6FB1" w:rsidP="007A3CF7">
      <w:pPr>
        <w:spacing w:line="360" w:lineRule="auto"/>
        <w:rPr>
          <w:sz w:val="24"/>
          <w:szCs w:val="24"/>
        </w:rPr>
      </w:pPr>
      <w:r w:rsidRPr="00FA6FB1">
        <w:rPr>
          <w:sz w:val="24"/>
          <w:szCs w:val="24"/>
        </w:rPr>
        <w:t xml:space="preserve">Gibbs, G. (1988) </w:t>
      </w:r>
      <w:r w:rsidRPr="00FA6FB1">
        <w:rPr>
          <w:i/>
          <w:iCs/>
          <w:sz w:val="24"/>
          <w:szCs w:val="24"/>
        </w:rPr>
        <w:t>Learning by doing: a guide to teaching and learning methods</w:t>
      </w:r>
      <w:r w:rsidRPr="00FA6FB1">
        <w:rPr>
          <w:sz w:val="24"/>
          <w:szCs w:val="24"/>
        </w:rPr>
        <w:t>. Oxford: Further Education Unit, Oxford Polytechnic.</w:t>
      </w:r>
    </w:p>
    <w:p w:rsidR="00E260DB" w:rsidRDefault="00E260DB" w:rsidP="007A3CF7">
      <w:pPr>
        <w:spacing w:line="360" w:lineRule="auto"/>
        <w:rPr>
          <w:sz w:val="24"/>
          <w:szCs w:val="24"/>
        </w:rPr>
      </w:pPr>
      <w:r w:rsidRPr="00E260DB">
        <w:rPr>
          <w:sz w:val="24"/>
          <w:szCs w:val="24"/>
        </w:rPr>
        <w:t xml:space="preserve">Royce, W.W. </w:t>
      </w:r>
      <w:r>
        <w:rPr>
          <w:sz w:val="24"/>
          <w:szCs w:val="24"/>
        </w:rPr>
        <w:t>(</w:t>
      </w:r>
      <w:r w:rsidRPr="00E260DB">
        <w:rPr>
          <w:sz w:val="24"/>
          <w:szCs w:val="24"/>
        </w:rPr>
        <w:t>19</w:t>
      </w:r>
      <w:r>
        <w:rPr>
          <w:sz w:val="24"/>
          <w:szCs w:val="24"/>
        </w:rPr>
        <w:t>8</w:t>
      </w:r>
      <w:r w:rsidRPr="00E260DB">
        <w:rPr>
          <w:sz w:val="24"/>
          <w:szCs w:val="24"/>
        </w:rPr>
        <w:t>7</w:t>
      </w:r>
      <w:r>
        <w:rPr>
          <w:sz w:val="24"/>
          <w:szCs w:val="24"/>
        </w:rPr>
        <w:t>)</w:t>
      </w:r>
      <w:r w:rsidRPr="00E260DB">
        <w:rPr>
          <w:sz w:val="24"/>
          <w:szCs w:val="24"/>
        </w:rPr>
        <w:t xml:space="preserve"> Managing the Development of Large Software Systems: </w:t>
      </w:r>
      <w:r>
        <w:rPr>
          <w:sz w:val="24"/>
          <w:szCs w:val="24"/>
        </w:rPr>
        <w:t>C</w:t>
      </w:r>
      <w:r w:rsidRPr="00E260DB">
        <w:rPr>
          <w:sz w:val="24"/>
          <w:szCs w:val="24"/>
        </w:rPr>
        <w:t xml:space="preserve">oncepts and </w:t>
      </w:r>
      <w:r>
        <w:rPr>
          <w:sz w:val="24"/>
          <w:szCs w:val="24"/>
        </w:rPr>
        <w:t>T</w:t>
      </w:r>
      <w:r w:rsidRPr="00E260DB">
        <w:rPr>
          <w:sz w:val="24"/>
          <w:szCs w:val="24"/>
        </w:rPr>
        <w:t xml:space="preserve">echniques. </w:t>
      </w:r>
      <w:r w:rsidRPr="00E260DB">
        <w:rPr>
          <w:i/>
          <w:iCs/>
          <w:sz w:val="24"/>
          <w:szCs w:val="24"/>
        </w:rPr>
        <w:t>ICSE '87: Proceedings of the 9th international conference on Software Engineering</w:t>
      </w:r>
      <w:r w:rsidRPr="00E260DB">
        <w:rPr>
          <w:i/>
          <w:iCs/>
          <w:sz w:val="24"/>
          <w:szCs w:val="24"/>
        </w:rPr>
        <w:t xml:space="preserve"> </w:t>
      </w:r>
      <w:r>
        <w:rPr>
          <w:sz w:val="24"/>
          <w:szCs w:val="24"/>
        </w:rPr>
        <w:t>328-338</w:t>
      </w:r>
      <w:r w:rsidRPr="00E260DB">
        <w:rPr>
          <w:sz w:val="24"/>
          <w:szCs w:val="24"/>
        </w:rPr>
        <w:t>.</w:t>
      </w:r>
      <w:r>
        <w:rPr>
          <w:sz w:val="24"/>
          <w:szCs w:val="24"/>
        </w:rPr>
        <w:t xml:space="preserve"> DOI: </w:t>
      </w:r>
      <w:hyperlink r:id="rId13" w:history="1">
        <w:r w:rsidRPr="00FA49C7">
          <w:rPr>
            <w:rStyle w:val="Hyperlink"/>
            <w:sz w:val="24"/>
            <w:szCs w:val="24"/>
          </w:rPr>
          <w:t>https://dl.acm.org/doi/10.5555/41765.41801</w:t>
        </w:r>
      </w:hyperlink>
      <w:r>
        <w:rPr>
          <w:sz w:val="24"/>
          <w:szCs w:val="24"/>
        </w:rPr>
        <w:t xml:space="preserve"> </w:t>
      </w:r>
    </w:p>
    <w:p w:rsidR="0060075E" w:rsidRDefault="0060075E" w:rsidP="007A3CF7">
      <w:pPr>
        <w:spacing w:line="360" w:lineRule="auto"/>
        <w:rPr>
          <w:sz w:val="24"/>
          <w:szCs w:val="24"/>
        </w:rPr>
      </w:pPr>
      <w:r w:rsidRPr="0060075E">
        <w:rPr>
          <w:sz w:val="24"/>
          <w:szCs w:val="24"/>
        </w:rPr>
        <w:t xml:space="preserve">UoEO. (n.d.) A Short Guide to Reflective Writing. Available from: </w:t>
      </w:r>
      <w:hyperlink r:id="rId14" w:history="1">
        <w:r w:rsidRPr="00FA49C7">
          <w:rPr>
            <w:rStyle w:val="Hyperlink"/>
            <w:sz w:val="24"/>
            <w:szCs w:val="24"/>
          </w:rPr>
          <w:t>www.my-course.co.uk/pluginfile.php/516814/mod_resource/content/2/A%20short%20guide%20to%20reflective%20writing.pdf</w:t>
        </w:r>
      </w:hyperlink>
      <w:r>
        <w:rPr>
          <w:sz w:val="24"/>
          <w:szCs w:val="24"/>
        </w:rPr>
        <w:t xml:space="preserve"> </w:t>
      </w:r>
      <w:r w:rsidRPr="0060075E">
        <w:rPr>
          <w:sz w:val="24"/>
          <w:szCs w:val="24"/>
        </w:rPr>
        <w:t>[Accessed 3 March 2025].</w:t>
      </w: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Default="0060075E" w:rsidP="007A3CF7">
      <w:pPr>
        <w:spacing w:line="360" w:lineRule="auto"/>
        <w:rPr>
          <w:sz w:val="24"/>
          <w:szCs w:val="24"/>
        </w:rPr>
      </w:pPr>
    </w:p>
    <w:p w:rsidR="0060075E" w:rsidRPr="007A3CF7" w:rsidRDefault="0060075E" w:rsidP="007A3CF7">
      <w:pPr>
        <w:spacing w:line="360" w:lineRule="auto"/>
        <w:rPr>
          <w:sz w:val="24"/>
          <w:szCs w:val="24"/>
        </w:rPr>
      </w:pPr>
    </w:p>
    <w:p w:rsidR="007A3CF7" w:rsidRPr="007A3CF7" w:rsidRDefault="007A3CF7" w:rsidP="007A3CF7">
      <w:pPr>
        <w:spacing w:line="360" w:lineRule="auto"/>
        <w:rPr>
          <w:sz w:val="24"/>
          <w:szCs w:val="24"/>
        </w:rPr>
      </w:pPr>
    </w:p>
    <w:sectPr w:rsidR="007A3CF7" w:rsidRPr="007A3CF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075E" w:rsidRDefault="0060075E" w:rsidP="0060075E">
      <w:pPr>
        <w:spacing w:after="0" w:line="240" w:lineRule="auto"/>
      </w:pPr>
      <w:r>
        <w:separator/>
      </w:r>
    </w:p>
  </w:endnote>
  <w:endnote w:type="continuationSeparator" w:id="0">
    <w:p w:rsidR="0060075E" w:rsidRDefault="0060075E" w:rsidP="0060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75E" w:rsidRDefault="0060075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60075E" w:rsidRDefault="00600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075E" w:rsidRDefault="0060075E" w:rsidP="0060075E">
      <w:pPr>
        <w:spacing w:after="0" w:line="240" w:lineRule="auto"/>
      </w:pPr>
      <w:r>
        <w:separator/>
      </w:r>
    </w:p>
  </w:footnote>
  <w:footnote w:type="continuationSeparator" w:id="0">
    <w:p w:rsidR="0060075E" w:rsidRDefault="0060075E" w:rsidP="006007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F7"/>
    <w:rsid w:val="000A7A84"/>
    <w:rsid w:val="0013393B"/>
    <w:rsid w:val="00184804"/>
    <w:rsid w:val="00265946"/>
    <w:rsid w:val="002B13BE"/>
    <w:rsid w:val="002B6906"/>
    <w:rsid w:val="002E7CBF"/>
    <w:rsid w:val="003432D6"/>
    <w:rsid w:val="003540C0"/>
    <w:rsid w:val="00433331"/>
    <w:rsid w:val="00594A1F"/>
    <w:rsid w:val="0060075E"/>
    <w:rsid w:val="00655E9C"/>
    <w:rsid w:val="00673816"/>
    <w:rsid w:val="00677054"/>
    <w:rsid w:val="006B06ED"/>
    <w:rsid w:val="006D08B3"/>
    <w:rsid w:val="006F1DC3"/>
    <w:rsid w:val="007A3CF7"/>
    <w:rsid w:val="008E2EFD"/>
    <w:rsid w:val="009F579E"/>
    <w:rsid w:val="00A45753"/>
    <w:rsid w:val="00A90FB2"/>
    <w:rsid w:val="00BB249F"/>
    <w:rsid w:val="00C672CF"/>
    <w:rsid w:val="00C87D60"/>
    <w:rsid w:val="00CC52D1"/>
    <w:rsid w:val="00D24397"/>
    <w:rsid w:val="00D51270"/>
    <w:rsid w:val="00D84301"/>
    <w:rsid w:val="00DC0349"/>
    <w:rsid w:val="00E260DB"/>
    <w:rsid w:val="00EB5776"/>
    <w:rsid w:val="00ED3202"/>
    <w:rsid w:val="00F30049"/>
    <w:rsid w:val="00FA2FA3"/>
    <w:rsid w:val="00FA6FB1"/>
    <w:rsid w:val="00FC75A9"/>
    <w:rsid w:val="00FE0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0637"/>
  <w15:chartTrackingRefBased/>
  <w15:docId w15:val="{5C9D8153-782C-4492-9EF9-9CB0C220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F7"/>
    <w:rPr>
      <w:rFonts w:eastAsiaTheme="majorEastAsia" w:cstheme="majorBidi"/>
      <w:color w:val="272727" w:themeColor="text1" w:themeTint="D8"/>
    </w:rPr>
  </w:style>
  <w:style w:type="paragraph" w:styleId="Title">
    <w:name w:val="Title"/>
    <w:basedOn w:val="Normal"/>
    <w:next w:val="Normal"/>
    <w:link w:val="TitleChar"/>
    <w:uiPriority w:val="10"/>
    <w:qFormat/>
    <w:rsid w:val="007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7A3CF7"/>
    <w:rPr>
      <w:i/>
      <w:iCs/>
      <w:color w:val="404040" w:themeColor="text1" w:themeTint="BF"/>
    </w:rPr>
  </w:style>
  <w:style w:type="paragraph" w:styleId="ListParagraph">
    <w:name w:val="List Paragraph"/>
    <w:basedOn w:val="Normal"/>
    <w:uiPriority w:val="34"/>
    <w:qFormat/>
    <w:rsid w:val="007A3CF7"/>
    <w:pPr>
      <w:ind w:left="720"/>
      <w:contextualSpacing/>
    </w:pPr>
  </w:style>
  <w:style w:type="character" w:styleId="IntenseEmphasis">
    <w:name w:val="Intense Emphasis"/>
    <w:basedOn w:val="DefaultParagraphFont"/>
    <w:uiPriority w:val="21"/>
    <w:qFormat/>
    <w:rsid w:val="007A3CF7"/>
    <w:rPr>
      <w:i/>
      <w:iCs/>
      <w:color w:val="2F5496" w:themeColor="accent1" w:themeShade="BF"/>
    </w:rPr>
  </w:style>
  <w:style w:type="paragraph" w:styleId="IntenseQuote">
    <w:name w:val="Intense Quote"/>
    <w:basedOn w:val="Normal"/>
    <w:next w:val="Normal"/>
    <w:link w:val="IntenseQuoteChar"/>
    <w:uiPriority w:val="30"/>
    <w:qFormat/>
    <w:rsid w:val="007A3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CF7"/>
    <w:rPr>
      <w:i/>
      <w:iCs/>
      <w:color w:val="2F5496" w:themeColor="accent1" w:themeShade="BF"/>
    </w:rPr>
  </w:style>
  <w:style w:type="character" w:styleId="IntenseReference">
    <w:name w:val="Intense Reference"/>
    <w:basedOn w:val="DefaultParagraphFont"/>
    <w:uiPriority w:val="32"/>
    <w:qFormat/>
    <w:rsid w:val="007A3CF7"/>
    <w:rPr>
      <w:b/>
      <w:bCs/>
      <w:smallCaps/>
      <w:color w:val="2F5496" w:themeColor="accent1" w:themeShade="BF"/>
      <w:spacing w:val="5"/>
    </w:rPr>
  </w:style>
  <w:style w:type="character" w:styleId="Hyperlink">
    <w:name w:val="Hyperlink"/>
    <w:basedOn w:val="DefaultParagraphFont"/>
    <w:uiPriority w:val="99"/>
    <w:unhideWhenUsed/>
    <w:rsid w:val="007A3CF7"/>
    <w:rPr>
      <w:color w:val="0563C1" w:themeColor="hyperlink"/>
      <w:u w:val="single"/>
    </w:rPr>
  </w:style>
  <w:style w:type="character" w:styleId="UnresolvedMention">
    <w:name w:val="Unresolved Mention"/>
    <w:basedOn w:val="DefaultParagraphFont"/>
    <w:uiPriority w:val="99"/>
    <w:semiHidden/>
    <w:unhideWhenUsed/>
    <w:rsid w:val="007A3CF7"/>
    <w:rPr>
      <w:color w:val="605E5C"/>
      <w:shd w:val="clear" w:color="auto" w:fill="E1DFDD"/>
    </w:rPr>
  </w:style>
  <w:style w:type="paragraph" w:styleId="Header">
    <w:name w:val="header"/>
    <w:basedOn w:val="Normal"/>
    <w:link w:val="HeaderChar"/>
    <w:uiPriority w:val="99"/>
    <w:unhideWhenUsed/>
    <w:rsid w:val="006007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75E"/>
  </w:style>
  <w:style w:type="paragraph" w:styleId="Footer">
    <w:name w:val="footer"/>
    <w:basedOn w:val="Normal"/>
    <w:link w:val="FooterChar"/>
    <w:uiPriority w:val="99"/>
    <w:unhideWhenUsed/>
    <w:rsid w:val="006007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1628">
      <w:bodyDiv w:val="1"/>
      <w:marLeft w:val="0"/>
      <w:marRight w:val="0"/>
      <w:marTop w:val="0"/>
      <w:marBottom w:val="0"/>
      <w:divBdr>
        <w:top w:val="none" w:sz="0" w:space="0" w:color="auto"/>
        <w:left w:val="none" w:sz="0" w:space="0" w:color="auto"/>
        <w:bottom w:val="none" w:sz="0" w:space="0" w:color="auto"/>
        <w:right w:val="none" w:sz="0" w:space="0" w:color="auto"/>
      </w:divBdr>
    </w:div>
    <w:div w:id="430904345">
      <w:bodyDiv w:val="1"/>
      <w:marLeft w:val="0"/>
      <w:marRight w:val="0"/>
      <w:marTop w:val="0"/>
      <w:marBottom w:val="0"/>
      <w:divBdr>
        <w:top w:val="none" w:sz="0" w:space="0" w:color="auto"/>
        <w:left w:val="none" w:sz="0" w:space="0" w:color="auto"/>
        <w:bottom w:val="none" w:sz="0" w:space="0" w:color="auto"/>
        <w:right w:val="none" w:sz="0" w:space="0" w:color="auto"/>
      </w:divBdr>
    </w:div>
    <w:div w:id="1522932436">
      <w:bodyDiv w:val="1"/>
      <w:marLeft w:val="0"/>
      <w:marRight w:val="0"/>
      <w:marTop w:val="0"/>
      <w:marBottom w:val="0"/>
      <w:divBdr>
        <w:top w:val="none" w:sz="0" w:space="0" w:color="auto"/>
        <w:left w:val="none" w:sz="0" w:space="0" w:color="auto"/>
        <w:bottom w:val="none" w:sz="0" w:space="0" w:color="auto"/>
        <w:right w:val="none" w:sz="0" w:space="0" w:color="auto"/>
      </w:divBdr>
    </w:div>
    <w:div w:id="1876962848">
      <w:bodyDiv w:val="1"/>
      <w:marLeft w:val="0"/>
      <w:marRight w:val="0"/>
      <w:marTop w:val="0"/>
      <w:marBottom w:val="0"/>
      <w:divBdr>
        <w:top w:val="none" w:sz="0" w:space="0" w:color="auto"/>
        <w:left w:val="none" w:sz="0" w:space="0" w:color="auto"/>
        <w:bottom w:val="none" w:sz="0" w:space="0" w:color="auto"/>
        <w:right w:val="none" w:sz="0" w:space="0" w:color="auto"/>
      </w:divBdr>
    </w:div>
    <w:div w:id="1967732829">
      <w:bodyDiv w:val="1"/>
      <w:marLeft w:val="0"/>
      <w:marRight w:val="0"/>
      <w:marTop w:val="0"/>
      <w:marBottom w:val="0"/>
      <w:divBdr>
        <w:top w:val="none" w:sz="0" w:space="0" w:color="auto"/>
        <w:left w:val="none" w:sz="0" w:space="0" w:color="auto"/>
        <w:bottom w:val="none" w:sz="0" w:space="0" w:color="auto"/>
        <w:right w:val="none" w:sz="0" w:space="0" w:color="auto"/>
      </w:divBdr>
    </w:div>
    <w:div w:id="21473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code-of-ethics" TargetMode="External"/><Relationship Id="rId13" Type="http://schemas.openxmlformats.org/officeDocument/2006/relationships/hyperlink" Target="https://dl.acm.org/doi/10.5555/41765.41801"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ur-lex.europa.eu/eli/reg/2016/679/oj"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utterworthc.github.io/RMPP/e-Portfolio.html" TargetMode="External"/><Relationship Id="rId11" Type="http://schemas.openxmlformats.org/officeDocument/2006/relationships/hyperlink" Target="https://agilemanifesto.or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bcs.org/media/2211/bcs-code-of-conduct.pdf" TargetMode="External"/><Relationship Id="rId4" Type="http://schemas.openxmlformats.org/officeDocument/2006/relationships/footnotes" Target="footnotes.xml"/><Relationship Id="rId9" Type="http://schemas.openxmlformats.org/officeDocument/2006/relationships/hyperlink" Target="https://www.amstat.org/ASA/Your-Career/Ethical-Guidelines-for-Statistical-Practice.aspx" TargetMode="External"/><Relationship Id="rId14" Type="http://schemas.openxmlformats.org/officeDocument/2006/relationships/hyperlink" Target="http://www.my-course.co.uk/pluginfile.php/516814/mod_resource/content/2/A%20short%20guide%20to%20reflective%20wri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Butterworth</dc:creator>
  <cp:keywords/>
  <dc:description/>
  <cp:lastModifiedBy>Chris Butterworth</cp:lastModifiedBy>
  <cp:revision>22</cp:revision>
  <dcterms:created xsi:type="dcterms:W3CDTF">2025-04-20T07:44:00Z</dcterms:created>
  <dcterms:modified xsi:type="dcterms:W3CDTF">2025-04-21T09:27:00Z</dcterms:modified>
</cp:coreProperties>
</file>