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pPr>
      <w:r>
        <w:rPr>
          <w:b/>
          <w:color w:val="1A365D"/>
          <w:sz w:val="48"/>
        </w:rPr>
        <w:t>DIAR System: Comprehensive Project Documentation</w:t>
      </w:r>
    </w:p>
    <w:p>
      <w:pPr>
        <w:spacing w:after="400"/>
      </w:pPr>
      <w:r>
        <w:rPr>
          <w:i/>
          <w:color w:val="718096"/>
          <w:sz w:val="26"/>
        </w:rPr>
        <w:t>AI-Based Digital Identity Analysis and Recommendation System</w:t>
        <w:br/>
        <w:t>Full Architecture, Machine Learning Pipeline, Contextual NLP, and Implementation Guide</w:t>
      </w:r>
    </w:p>
    <w:p>
      <w:pPr>
        <w:spacing w:after="320"/>
      </w:pPr>
      <w:r>
        <w:rPr>
          <w:color w:val="3182CE"/>
        </w:rPr>
        <w:t>———————————————————————————————————————————————————————</w:t>
      </w:r>
    </w:p>
    <w:p>
      <w:pPr>
        <w:spacing w:before="360" w:after="120"/>
      </w:pPr>
      <w:r>
        <w:rPr>
          <w:b/>
          <w:color w:val="1A365D"/>
          <w:sz w:val="32"/>
        </w:rPr>
        <w:t>1. Executive Summary &amp; Project Overview</w:t>
      </w:r>
    </w:p>
    <w:p>
      <w:pPr>
        <w:spacing w:before="40" w:after="100" w:line="276" w:lineRule="auto"/>
      </w:pPr>
      <w:r>
        <w:rPr>
          <w:i w:val="0"/>
          <w:color w:val="2D3748"/>
          <w:sz w:val="21"/>
        </w:rPr>
        <w:t>The Digital Identity Analysis and Recommendation System (DIAR) is an intelligent, multi-layered career alignment platform designed to bridge the semantic and empirical gap between a professional's fragmented digital footprint and target industry benchmarks.</w:t>
      </w:r>
    </w:p>
    <w:p>
      <w:pPr>
        <w:spacing w:before="40" w:after="100" w:line="276" w:lineRule="auto"/>
      </w:pPr>
      <w:r>
        <w:rPr>
          <w:i w:val="0"/>
          <w:color w:val="2D3748"/>
          <w:sz w:val="21"/>
        </w:rPr>
        <w:t>Modern professionals distribute evidence of their competence across heterogeneous platforms—unstructured PDF resumes, dynamic GitHub repositories (with live commit histories, codebases, and READMEs), and LinkedIn profiles. Traditional applicant tracking systems (ATS) or naive keyword filters suffer from severe limitations: keyword stuffing falsely amplifies match confidence, past/abandoned projects are equated with current capability, and learning intentions (e.g., 'planning to learn Docker') are misclassified as proven competencies.</w:t>
      </w:r>
    </w:p>
    <w:p>
      <w:pPr>
        <w:spacing w:before="40" w:after="100" w:line="276" w:lineRule="auto"/>
      </w:pPr>
      <w:r>
        <w:rPr>
          <w:i w:val="0"/>
          <w:color w:val="2D3748"/>
          <w:sz w:val="21"/>
        </w:rPr>
        <w:t>DIAR addresses these challenges through a cohesive, evidence-based pipeline that combines Context-Aware Natural Language Processing (NLP), a Supervised Machine Learning Role Classifier, Rule-Based Reasoning with Triangular Fuzzy Logic, Multi-Factor Recency &amp; Authority Scoring, and Explainable AI (XAI) traces with granular privacy controls.</w:t>
      </w:r>
    </w:p>
    <w:p>
      <w:pPr>
        <w:spacing w:before="360" w:after="120"/>
      </w:pPr>
      <w:r>
        <w:rPr>
          <w:b/>
          <w:color w:val="1A365D"/>
          <w:sz w:val="32"/>
        </w:rPr>
        <w:t>2. High-Level Architecture &amp; Pipeline Workflow</w:t>
      </w:r>
    </w:p>
    <w:p>
      <w:pPr>
        <w:spacing w:before="40" w:after="100" w:line="276" w:lineRule="auto"/>
      </w:pPr>
      <w:r>
        <w:rPr>
          <w:i w:val="0"/>
          <w:color w:val="2D3748"/>
          <w:sz w:val="21"/>
        </w:rPr>
        <w:t>The system processes a candidate's profile through sequential, loosely coupled stages:</w:t>
      </w:r>
    </w:p>
    <w:p>
      <w:pPr>
        <w:pStyle w:val="ListBullet"/>
        <w:spacing w:before="40" w:after="60" w:line="276" w:lineRule="auto"/>
      </w:pPr>
      <w:r>
        <w:rPr>
          <w:b/>
          <w:color w:val="1A365D"/>
          <w:sz w:val="21"/>
        </w:rPr>
        <w:t xml:space="preserve">Step 1: Multi-Source Data Ingestion: </w:t>
      </w:r>
      <w:r>
        <w:rPr>
          <w:color w:val="2D3748"/>
          <w:sz w:val="21"/>
        </w:rPr>
        <w:t>Aggregates PDF resumes, real-time GitHub REST API metrics, and raw LinkedIn text into standardized streams.</w:t>
      </w:r>
    </w:p>
    <w:p>
      <w:pPr>
        <w:pStyle w:val="ListBullet"/>
        <w:spacing w:before="40" w:after="60" w:line="276" w:lineRule="auto"/>
      </w:pPr>
      <w:r>
        <w:rPr>
          <w:b/>
          <w:color w:val="1A365D"/>
          <w:sz w:val="21"/>
        </w:rPr>
        <w:t xml:space="preserve">Step 2: Context-Aware Information Extraction: </w:t>
      </w:r>
      <w:r>
        <w:rPr>
          <w:color w:val="2D3748"/>
          <w:sz w:val="21"/>
        </w:rPr>
        <w:t>Deconstructs textual mentions using syntactic negation analysis, trajectory intent detection, sublinear frequency dampening, and typo-tolerant difflib matching.</w:t>
      </w:r>
    </w:p>
    <w:p>
      <w:pPr>
        <w:pStyle w:val="ListBullet"/>
        <w:spacing w:before="40" w:after="60" w:line="276" w:lineRule="auto"/>
      </w:pPr>
      <w:r>
        <w:rPr>
          <w:b/>
          <w:color w:val="1A365D"/>
          <w:sz w:val="21"/>
        </w:rPr>
        <w:t xml:space="preserve">Step 3: Identity Construction &amp; State Tracking: </w:t>
      </w:r>
      <w:r>
        <w:rPr>
          <w:color w:val="2D3748"/>
          <w:sz w:val="21"/>
        </w:rPr>
        <w:t>Synthesizes contextual skills into a unified Digital Identity Profile, logging granular pipeline ingestion states (not_supplied, partial, failed, analysed).</w:t>
      </w:r>
    </w:p>
    <w:p>
      <w:pPr>
        <w:pStyle w:val="ListBullet"/>
        <w:spacing w:before="40" w:after="60" w:line="276" w:lineRule="auto"/>
      </w:pPr>
      <w:r>
        <w:rPr>
          <w:b/>
          <w:color w:val="1A365D"/>
          <w:sz w:val="21"/>
        </w:rPr>
        <w:t xml:space="preserve">Step 4: Machine Learning Role Classification: </w:t>
      </w:r>
      <w:r>
        <w:rPr>
          <w:color w:val="2D3748"/>
          <w:sz w:val="21"/>
        </w:rPr>
        <w:t>Computes role probability distributions using a multinomial TF-IDF + Logistic Regression model trained across 5 benchmark roles.</w:t>
      </w:r>
    </w:p>
    <w:p>
      <w:pPr>
        <w:pStyle w:val="ListBullet"/>
        <w:spacing w:before="40" w:after="60" w:line="276" w:lineRule="auto"/>
      </w:pPr>
      <w:r>
        <w:rPr>
          <w:b/>
          <w:color w:val="1A365D"/>
          <w:sz w:val="21"/>
        </w:rPr>
        <w:t xml:space="preserve">Step 5: Digital Identity Alignment Engine: </w:t>
      </w:r>
      <w:r>
        <w:rPr>
          <w:color w:val="2D3748"/>
          <w:sz w:val="21"/>
        </w:rPr>
        <w:t>Evaluates candidate evidence against formal benchmark criteria using triangular fuzzy membership functions and recency penalties.</w:t>
      </w:r>
    </w:p>
    <w:p>
      <w:pPr>
        <w:pStyle w:val="ListBullet"/>
        <w:spacing w:before="40" w:after="60" w:line="276" w:lineRule="auto"/>
      </w:pPr>
      <w:r>
        <w:rPr>
          <w:b/>
          <w:color w:val="1A365D"/>
          <w:sz w:val="21"/>
        </w:rPr>
        <w:t xml:space="preserve">Step 6: Prioritized Recommendation Engine: </w:t>
      </w:r>
      <w:r>
        <w:rPr>
          <w:color w:val="2D3748"/>
          <w:sz w:val="21"/>
        </w:rPr>
        <w:t>Generates a prioritized queue of prescriptive improvements categorized by severity (High, Medium, Low).</w:t>
      </w:r>
    </w:p>
    <w:p>
      <w:pPr>
        <w:pStyle w:val="ListBullet"/>
        <w:spacing w:before="40" w:after="60" w:line="276" w:lineRule="auto"/>
      </w:pPr>
      <w:r>
        <w:rPr>
          <w:b/>
          <w:color w:val="1A365D"/>
          <w:sz w:val="21"/>
        </w:rPr>
        <w:t xml:space="preserve">Step 7: Explainable AI &amp; Dynamic Sanitization: </w:t>
      </w:r>
      <w:r>
        <w:rPr>
          <w:color w:val="2D3748"/>
          <w:sz w:val="21"/>
        </w:rPr>
        <w:t>Produces human-interpretable justifications tracing back to exact evidence sources, rules, and privacy tier redactions.</w:t>
      </w:r>
    </w:p>
    <w:p>
      <w:pPr>
        <w:spacing w:before="160"/>
      </w:pPr>
    </w:p>
    <w:tbl>
      <w:tblPr>
        <w:tblW w:type="auto" w:w="0"/>
        <w:jc w:val="center"/>
        <w:tblLook w:firstColumn="1" w:firstRow="1" w:lastColumn="0" w:lastRow="0" w:noHBand="0" w:noVBand="1" w:val="04A0"/>
      </w:tblPr>
      <w:tblGrid>
        <w:gridCol w:w="3120"/>
        <w:gridCol w:w="3120"/>
        <w:gridCol w:w="3120"/>
      </w:tblGrid>
      <w:tr>
        <w:tc>
          <w:tcPr>
            <w:tcW w:type="dxa" w:w="3120"/>
            <w:shd w:fill="1A365D"/>
            <w:tcMar>
              <w:top w:w="120" w:type="dxa"/>
              <w:bottom w:w="120" w:type="dxa"/>
              <w:left w:w="150" w:type="dxa"/>
              <w:right w:w="150" w:type="dxa"/>
            </w:tcMar>
          </w:tcPr>
          <w:p>
            <w:r>
              <w:rPr>
                <w:b/>
                <w:color w:val="FFFFFF"/>
                <w:sz w:val="20"/>
              </w:rPr>
              <w:t>System Module</w:t>
            </w:r>
          </w:p>
        </w:tc>
        <w:tc>
          <w:tcPr>
            <w:tcW w:type="dxa" w:w="3120"/>
            <w:shd w:fill="1A365D"/>
            <w:tcMar>
              <w:top w:w="120" w:type="dxa"/>
              <w:bottom w:w="120" w:type="dxa"/>
              <w:left w:w="150" w:type="dxa"/>
              <w:right w:w="150" w:type="dxa"/>
            </w:tcMar>
          </w:tcPr>
          <w:p>
            <w:r>
              <w:rPr>
                <w:b/>
                <w:color w:val="FFFFFF"/>
                <w:sz w:val="20"/>
              </w:rPr>
              <w:t>Underlying AI Technique</w:t>
            </w:r>
          </w:p>
        </w:tc>
        <w:tc>
          <w:tcPr>
            <w:tcW w:type="dxa" w:w="3120"/>
            <w:shd w:fill="1A365D"/>
            <w:tcMar>
              <w:top w:w="120" w:type="dxa"/>
              <w:bottom w:w="120" w:type="dxa"/>
              <w:left w:w="150" w:type="dxa"/>
              <w:right w:w="150" w:type="dxa"/>
            </w:tcMar>
          </w:tcPr>
          <w:p>
            <w:r>
              <w:rPr>
                <w:b/>
                <w:color w:val="FFFFFF"/>
                <w:sz w:val="20"/>
              </w:rPr>
              <w:t>Source Code File</w:t>
            </w:r>
          </w:p>
        </w:tc>
      </w:tr>
      <w:tr>
        <w:tc>
          <w:tcPr>
            <w:tcW w:type="dxa" w:w="3120"/>
            <w:shd w:fill="F7FAFC"/>
            <w:tcMar>
              <w:top w:w="100" w:type="dxa"/>
              <w:bottom w:w="100" w:type="dxa"/>
              <w:left w:w="150" w:type="dxa"/>
              <w:right w:w="150" w:type="dxa"/>
            </w:tcMar>
          </w:tcPr>
          <w:p>
            <w:r>
              <w:rPr>
                <w:b/>
                <w:color w:val="2D3748"/>
                <w:sz w:val="19"/>
              </w:rPr>
              <w:t>Information Extraction</w:t>
            </w:r>
          </w:p>
        </w:tc>
        <w:tc>
          <w:tcPr>
            <w:tcW w:type="dxa" w:w="3120"/>
            <w:shd w:fill="F7FAFC"/>
            <w:tcMar>
              <w:top w:w="100" w:type="dxa"/>
              <w:bottom w:w="100" w:type="dxa"/>
              <w:left w:w="150" w:type="dxa"/>
              <w:right w:w="150" w:type="dxa"/>
            </w:tcMar>
          </w:tcPr>
          <w:p>
            <w:r>
              <w:rPr>
                <w:color w:val="2D3748"/>
                <w:sz w:val="19"/>
              </w:rPr>
              <w:t>Context-Aware NLP, Regex Heuristics, Sublinear Frequency Normalization</w:t>
            </w:r>
          </w:p>
        </w:tc>
        <w:tc>
          <w:tcPr>
            <w:tcW w:type="dxa" w:w="3120"/>
            <w:shd w:fill="F7FAFC"/>
            <w:tcMar>
              <w:top w:w="100" w:type="dxa"/>
              <w:bottom w:w="100" w:type="dxa"/>
              <w:left w:w="150" w:type="dxa"/>
              <w:right w:w="150" w:type="dxa"/>
            </w:tcMar>
          </w:tcPr>
          <w:p>
            <w:r>
              <w:rPr>
                <w:color w:val="2D3748"/>
                <w:sz w:val="19"/>
              </w:rPr>
              <w:t>backend/app/modules/extraction.py</w:t>
            </w:r>
          </w:p>
        </w:tc>
      </w:tr>
      <w:tr>
        <w:tc>
          <w:tcPr>
            <w:tcW w:type="dxa" w:w="3120"/>
            <w:shd w:fill="EDF2F7"/>
            <w:tcMar>
              <w:top w:w="100" w:type="dxa"/>
              <w:bottom w:w="100" w:type="dxa"/>
              <w:left w:w="150" w:type="dxa"/>
              <w:right w:w="150" w:type="dxa"/>
            </w:tcMar>
          </w:tcPr>
          <w:p>
            <w:r>
              <w:rPr>
                <w:b/>
                <w:color w:val="2D3748"/>
                <w:sz w:val="19"/>
              </w:rPr>
              <w:t>Identity Construction</w:t>
            </w:r>
          </w:p>
        </w:tc>
        <w:tc>
          <w:tcPr>
            <w:tcW w:type="dxa" w:w="3120"/>
            <w:shd w:fill="EDF2F7"/>
            <w:tcMar>
              <w:top w:w="100" w:type="dxa"/>
              <w:bottom w:w="100" w:type="dxa"/>
              <w:left w:w="150" w:type="dxa"/>
              <w:right w:w="150" w:type="dxa"/>
            </w:tcMar>
          </w:tcPr>
          <w:p>
            <w:r>
              <w:rPr>
                <w:color w:val="2D3748"/>
                <w:sz w:val="19"/>
              </w:rPr>
              <w:t>Multi-Source Data Consolidation &amp; Pipeline State Tracking</w:t>
            </w:r>
          </w:p>
        </w:tc>
        <w:tc>
          <w:tcPr>
            <w:tcW w:type="dxa" w:w="3120"/>
            <w:shd w:fill="EDF2F7"/>
            <w:tcMar>
              <w:top w:w="100" w:type="dxa"/>
              <w:bottom w:w="100" w:type="dxa"/>
              <w:left w:w="150" w:type="dxa"/>
              <w:right w:w="150" w:type="dxa"/>
            </w:tcMar>
          </w:tcPr>
          <w:p>
            <w:r>
              <w:rPr>
                <w:color w:val="2D3748"/>
                <w:sz w:val="19"/>
              </w:rPr>
              <w:t>backend/app/modules/identity_construction.py</w:t>
            </w:r>
          </w:p>
        </w:tc>
      </w:tr>
      <w:tr>
        <w:tc>
          <w:tcPr>
            <w:tcW w:type="dxa" w:w="3120"/>
            <w:shd w:fill="F7FAFC"/>
            <w:tcMar>
              <w:top w:w="100" w:type="dxa"/>
              <w:bottom w:w="100" w:type="dxa"/>
              <w:left w:w="150" w:type="dxa"/>
              <w:right w:w="150" w:type="dxa"/>
            </w:tcMar>
          </w:tcPr>
          <w:p>
            <w:r>
              <w:rPr>
                <w:b/>
                <w:color w:val="2D3748"/>
                <w:sz w:val="19"/>
              </w:rPr>
              <w:t>Identity Benchmark</w:t>
            </w:r>
          </w:p>
        </w:tc>
        <w:tc>
          <w:tcPr>
            <w:tcW w:type="dxa" w:w="3120"/>
            <w:shd w:fill="F7FAFC"/>
            <w:tcMar>
              <w:top w:w="100" w:type="dxa"/>
              <w:bottom w:w="100" w:type="dxa"/>
              <w:left w:w="150" w:type="dxa"/>
              <w:right w:w="150" w:type="dxa"/>
            </w:tcMar>
          </w:tcPr>
          <w:p>
            <w:r>
              <w:rPr>
                <w:color w:val="2D3748"/>
                <w:sz w:val="19"/>
              </w:rPr>
              <w:t>Taxonomy &amp; Knowledge Representation (5 Archetypes)</w:t>
            </w:r>
          </w:p>
        </w:tc>
        <w:tc>
          <w:tcPr>
            <w:tcW w:type="dxa" w:w="3120"/>
            <w:shd w:fill="F7FAFC"/>
            <w:tcMar>
              <w:top w:w="100" w:type="dxa"/>
              <w:bottom w:w="100" w:type="dxa"/>
              <w:left w:w="150" w:type="dxa"/>
              <w:right w:w="150" w:type="dxa"/>
            </w:tcMar>
          </w:tcPr>
          <w:p>
            <w:r>
              <w:rPr>
                <w:color w:val="2D3748"/>
                <w:sz w:val="19"/>
              </w:rPr>
              <w:t>backend/app/data/benchmarks.json</w:t>
            </w:r>
          </w:p>
        </w:tc>
      </w:tr>
      <w:tr>
        <w:tc>
          <w:tcPr>
            <w:tcW w:type="dxa" w:w="3120"/>
            <w:shd w:fill="EDF2F7"/>
            <w:tcMar>
              <w:top w:w="100" w:type="dxa"/>
              <w:bottom w:w="100" w:type="dxa"/>
              <w:left w:w="150" w:type="dxa"/>
              <w:right w:w="150" w:type="dxa"/>
            </w:tcMar>
          </w:tcPr>
          <w:p>
            <w:r>
              <w:rPr>
                <w:b/>
                <w:color w:val="2D3748"/>
                <w:sz w:val="19"/>
              </w:rPr>
              <w:t>Machine Learning Classifier</w:t>
            </w:r>
          </w:p>
        </w:tc>
        <w:tc>
          <w:tcPr>
            <w:tcW w:type="dxa" w:w="3120"/>
            <w:shd w:fill="EDF2F7"/>
            <w:tcMar>
              <w:top w:w="100" w:type="dxa"/>
              <w:bottom w:w="100" w:type="dxa"/>
              <w:left w:w="150" w:type="dxa"/>
              <w:right w:w="150" w:type="dxa"/>
            </w:tcMar>
          </w:tcPr>
          <w:p>
            <w:r>
              <w:rPr>
                <w:color w:val="2D3748"/>
                <w:sz w:val="19"/>
              </w:rPr>
              <w:t>TF-IDF Vectorization + Multinomial Logistic Regression</w:t>
            </w:r>
          </w:p>
        </w:tc>
        <w:tc>
          <w:tcPr>
            <w:tcW w:type="dxa" w:w="3120"/>
            <w:shd w:fill="EDF2F7"/>
            <w:tcMar>
              <w:top w:w="100" w:type="dxa"/>
              <w:bottom w:w="100" w:type="dxa"/>
              <w:left w:w="150" w:type="dxa"/>
              <w:right w:w="150" w:type="dxa"/>
            </w:tcMar>
          </w:tcPr>
          <w:p>
            <w:r>
              <w:rPr>
                <w:color w:val="2D3748"/>
                <w:sz w:val="19"/>
              </w:rPr>
              <w:t>backend/app/modules/ml_classifier.py</w:t>
            </w:r>
          </w:p>
        </w:tc>
      </w:tr>
      <w:tr>
        <w:tc>
          <w:tcPr>
            <w:tcW w:type="dxa" w:w="3120"/>
            <w:shd w:fill="F7FAFC"/>
            <w:tcMar>
              <w:top w:w="100" w:type="dxa"/>
              <w:bottom w:w="100" w:type="dxa"/>
              <w:left w:w="150" w:type="dxa"/>
              <w:right w:w="150" w:type="dxa"/>
            </w:tcMar>
          </w:tcPr>
          <w:p>
            <w:r>
              <w:rPr>
                <w:b/>
                <w:color w:val="2D3748"/>
                <w:sz w:val="19"/>
              </w:rPr>
              <w:t>Model Training &amp; Validation</w:t>
            </w:r>
          </w:p>
        </w:tc>
        <w:tc>
          <w:tcPr>
            <w:tcW w:type="dxa" w:w="3120"/>
            <w:shd w:fill="F7FAFC"/>
            <w:tcMar>
              <w:top w:w="100" w:type="dxa"/>
              <w:bottom w:w="100" w:type="dxa"/>
              <w:left w:w="150" w:type="dxa"/>
              <w:right w:w="150" w:type="dxa"/>
            </w:tcMar>
          </w:tcPr>
          <w:p>
            <w:r>
              <w:rPr>
                <w:color w:val="2D3748"/>
                <w:sz w:val="19"/>
              </w:rPr>
              <w:t>Stratified 5-Fold Cross-Validation (97.33% Accuracy)</w:t>
            </w:r>
          </w:p>
        </w:tc>
        <w:tc>
          <w:tcPr>
            <w:tcW w:type="dxa" w:w="3120"/>
            <w:shd w:fill="F7FAFC"/>
            <w:tcMar>
              <w:top w:w="100" w:type="dxa"/>
              <w:bottom w:w="100" w:type="dxa"/>
              <w:left w:w="150" w:type="dxa"/>
              <w:right w:w="150" w:type="dxa"/>
            </w:tcMar>
          </w:tcPr>
          <w:p>
            <w:r>
              <w:rPr>
                <w:color w:val="2D3748"/>
                <w:sz w:val="19"/>
              </w:rPr>
              <w:t>backend/train_ml_model.py</w:t>
            </w:r>
          </w:p>
        </w:tc>
      </w:tr>
      <w:tr>
        <w:tc>
          <w:tcPr>
            <w:tcW w:type="dxa" w:w="3120"/>
            <w:shd w:fill="EDF2F7"/>
            <w:tcMar>
              <w:top w:w="100" w:type="dxa"/>
              <w:bottom w:w="100" w:type="dxa"/>
              <w:left w:w="150" w:type="dxa"/>
              <w:right w:w="150" w:type="dxa"/>
            </w:tcMar>
          </w:tcPr>
          <w:p>
            <w:r>
              <w:rPr>
                <w:b/>
                <w:color w:val="2D3748"/>
                <w:sz w:val="19"/>
              </w:rPr>
              <w:t>Alignment Engine</w:t>
            </w:r>
          </w:p>
        </w:tc>
        <w:tc>
          <w:tcPr>
            <w:tcW w:type="dxa" w:w="3120"/>
            <w:shd w:fill="EDF2F7"/>
            <w:tcMar>
              <w:top w:w="100" w:type="dxa"/>
              <w:bottom w:w="100" w:type="dxa"/>
              <w:left w:w="150" w:type="dxa"/>
              <w:right w:w="150" w:type="dxa"/>
            </w:tcMar>
          </w:tcPr>
          <w:p>
            <w:r>
              <w:rPr>
                <w:color w:val="2D3748"/>
                <w:sz w:val="19"/>
              </w:rPr>
              <w:t>Rule-Based Reasoning + Triangular Fuzzy Membership</w:t>
            </w:r>
          </w:p>
        </w:tc>
        <w:tc>
          <w:tcPr>
            <w:tcW w:type="dxa" w:w="3120"/>
            <w:shd w:fill="EDF2F7"/>
            <w:tcMar>
              <w:top w:w="100" w:type="dxa"/>
              <w:bottom w:w="100" w:type="dxa"/>
              <w:left w:w="150" w:type="dxa"/>
              <w:right w:w="150" w:type="dxa"/>
            </w:tcMar>
          </w:tcPr>
          <w:p>
            <w:r>
              <w:rPr>
                <w:color w:val="2D3748"/>
                <w:sz w:val="19"/>
              </w:rPr>
              <w:t>backend/app/modules/alignment_engine.py &amp; fuzzy_logic.py</w:t>
            </w:r>
          </w:p>
        </w:tc>
      </w:tr>
      <w:tr>
        <w:tc>
          <w:tcPr>
            <w:tcW w:type="dxa" w:w="3120"/>
            <w:shd w:fill="F7FAFC"/>
            <w:tcMar>
              <w:top w:w="100" w:type="dxa"/>
              <w:bottom w:w="100" w:type="dxa"/>
              <w:left w:w="150" w:type="dxa"/>
              <w:right w:w="150" w:type="dxa"/>
            </w:tcMar>
          </w:tcPr>
          <w:p>
            <w:r>
              <w:rPr>
                <w:b/>
                <w:color w:val="2D3748"/>
                <w:sz w:val="19"/>
              </w:rPr>
              <w:t>Recommendation Engine</w:t>
            </w:r>
          </w:p>
        </w:tc>
        <w:tc>
          <w:tcPr>
            <w:tcW w:type="dxa" w:w="3120"/>
            <w:shd w:fill="F7FAFC"/>
            <w:tcMar>
              <w:top w:w="100" w:type="dxa"/>
              <w:bottom w:w="100" w:type="dxa"/>
              <w:left w:w="150" w:type="dxa"/>
              <w:right w:w="150" w:type="dxa"/>
            </w:tcMar>
          </w:tcPr>
          <w:p>
            <w:r>
              <w:rPr>
                <w:color w:val="2D3748"/>
                <w:sz w:val="19"/>
              </w:rPr>
              <w:t>Heuristic Search Priority Queue &amp; Severity Sorter</w:t>
            </w:r>
          </w:p>
        </w:tc>
        <w:tc>
          <w:tcPr>
            <w:tcW w:type="dxa" w:w="3120"/>
            <w:shd w:fill="F7FAFC"/>
            <w:tcMar>
              <w:top w:w="100" w:type="dxa"/>
              <w:bottom w:w="100" w:type="dxa"/>
              <w:left w:w="150" w:type="dxa"/>
              <w:right w:w="150" w:type="dxa"/>
            </w:tcMar>
          </w:tcPr>
          <w:p>
            <w:r>
              <w:rPr>
                <w:color w:val="2D3748"/>
                <w:sz w:val="19"/>
              </w:rPr>
              <w:t>backend/app/modules/recommendation_engine.py</w:t>
            </w:r>
          </w:p>
        </w:tc>
      </w:tr>
      <w:tr>
        <w:tc>
          <w:tcPr>
            <w:tcW w:type="dxa" w:w="3120"/>
            <w:shd w:fill="EDF2F7"/>
            <w:tcMar>
              <w:top w:w="100" w:type="dxa"/>
              <w:bottom w:w="100" w:type="dxa"/>
              <w:left w:w="150" w:type="dxa"/>
              <w:right w:w="150" w:type="dxa"/>
            </w:tcMar>
          </w:tcPr>
          <w:p>
            <w:r>
              <w:rPr>
                <w:b/>
                <w:color w:val="2D3748"/>
                <w:sz w:val="19"/>
              </w:rPr>
              <w:t>Explainable AI (XAI)</w:t>
            </w:r>
          </w:p>
        </w:tc>
        <w:tc>
          <w:tcPr>
            <w:tcW w:type="dxa" w:w="3120"/>
            <w:shd w:fill="EDF2F7"/>
            <w:tcMar>
              <w:top w:w="100" w:type="dxa"/>
              <w:bottom w:w="100" w:type="dxa"/>
              <w:left w:w="150" w:type="dxa"/>
              <w:right w:w="150" w:type="dxa"/>
            </w:tcMar>
          </w:tcPr>
          <w:p>
            <w:r>
              <w:rPr>
                <w:color w:val="2D3748"/>
                <w:sz w:val="19"/>
              </w:rPr>
              <w:t>Rule-Traced Transparent Justification Engine</w:t>
            </w:r>
          </w:p>
        </w:tc>
        <w:tc>
          <w:tcPr>
            <w:tcW w:type="dxa" w:w="3120"/>
            <w:shd w:fill="EDF2F7"/>
            <w:tcMar>
              <w:top w:w="100" w:type="dxa"/>
              <w:bottom w:w="100" w:type="dxa"/>
              <w:left w:w="150" w:type="dxa"/>
              <w:right w:w="150" w:type="dxa"/>
            </w:tcMar>
          </w:tcPr>
          <w:p>
            <w:r>
              <w:rPr>
                <w:color w:val="2D3748"/>
                <w:sz w:val="19"/>
              </w:rPr>
              <w:t>backend/app/modules/explainable_ai.py</w:t>
            </w:r>
          </w:p>
        </w:tc>
      </w:tr>
      <w:tr>
        <w:tc>
          <w:tcPr>
            <w:tcW w:type="dxa" w:w="3120"/>
            <w:shd w:fill="F7FAFC"/>
            <w:tcMar>
              <w:top w:w="100" w:type="dxa"/>
              <w:bottom w:w="100" w:type="dxa"/>
              <w:left w:w="150" w:type="dxa"/>
              <w:right w:w="150" w:type="dxa"/>
            </w:tcMar>
          </w:tcPr>
          <w:p>
            <w:r>
              <w:rPr>
                <w:b/>
                <w:color w:val="2D3748"/>
                <w:sz w:val="19"/>
              </w:rPr>
              <w:t>Report API &amp; Audit Store</w:t>
            </w:r>
          </w:p>
        </w:tc>
        <w:tc>
          <w:tcPr>
            <w:tcW w:type="dxa" w:w="3120"/>
            <w:shd w:fill="F7FAFC"/>
            <w:tcMar>
              <w:top w:w="100" w:type="dxa"/>
              <w:bottom w:w="100" w:type="dxa"/>
              <w:left w:w="150" w:type="dxa"/>
              <w:right w:w="150" w:type="dxa"/>
            </w:tcMar>
          </w:tcPr>
          <w:p>
            <w:r>
              <w:rPr>
                <w:color w:val="2D3748"/>
                <w:sz w:val="19"/>
              </w:rPr>
              <w:t>Asynchronous REST API + SQLite Relational Storage</w:t>
            </w:r>
          </w:p>
        </w:tc>
        <w:tc>
          <w:tcPr>
            <w:tcW w:type="dxa" w:w="3120"/>
            <w:shd w:fill="F7FAFC"/>
            <w:tcMar>
              <w:top w:w="100" w:type="dxa"/>
              <w:bottom w:w="100" w:type="dxa"/>
              <w:left w:w="150" w:type="dxa"/>
              <w:right w:w="150" w:type="dxa"/>
            </w:tcMar>
          </w:tcPr>
          <w:p>
            <w:r>
              <w:rPr>
                <w:color w:val="2D3748"/>
                <w:sz w:val="19"/>
              </w:rPr>
              <w:t>backend/app/main.py &amp; database.py</w:t>
            </w:r>
          </w:p>
        </w:tc>
      </w:tr>
      <w:tr>
        <w:tc>
          <w:tcPr>
            <w:tcW w:type="dxa" w:w="3120"/>
            <w:shd w:fill="EDF2F7"/>
            <w:tcMar>
              <w:top w:w="100" w:type="dxa"/>
              <w:bottom w:w="100" w:type="dxa"/>
              <w:left w:w="150" w:type="dxa"/>
              <w:right w:w="150" w:type="dxa"/>
            </w:tcMar>
          </w:tcPr>
          <w:p>
            <w:r>
              <w:rPr>
                <w:b/>
                <w:color w:val="2D3748"/>
                <w:sz w:val="19"/>
              </w:rPr>
              <w:t>User Interface</w:t>
            </w:r>
          </w:p>
        </w:tc>
        <w:tc>
          <w:tcPr>
            <w:tcW w:type="dxa" w:w="3120"/>
            <w:shd w:fill="EDF2F7"/>
            <w:tcMar>
              <w:top w:w="100" w:type="dxa"/>
              <w:bottom w:w="100" w:type="dxa"/>
              <w:left w:w="150" w:type="dxa"/>
              <w:right w:w="150" w:type="dxa"/>
            </w:tcMar>
          </w:tcPr>
          <w:p>
            <w:r>
              <w:rPr>
                <w:color w:val="2D3748"/>
                <w:sz w:val="19"/>
              </w:rPr>
              <w:t>Reactive Dashboard (React CDN, Babel, Tailwind aesthetics)</w:t>
            </w:r>
          </w:p>
        </w:tc>
        <w:tc>
          <w:tcPr>
            <w:tcW w:type="dxa" w:w="3120"/>
            <w:shd w:fill="EDF2F7"/>
            <w:tcMar>
              <w:top w:w="100" w:type="dxa"/>
              <w:bottom w:w="100" w:type="dxa"/>
              <w:left w:w="150" w:type="dxa"/>
              <w:right w:w="150" w:type="dxa"/>
            </w:tcMar>
          </w:tcPr>
          <w:p>
            <w:r>
              <w:rPr>
                <w:color w:val="2D3748"/>
                <w:sz w:val="19"/>
              </w:rPr>
              <w:t>frontend/index.html</w:t>
            </w:r>
          </w:p>
        </w:tc>
      </w:tr>
    </w:tbl>
    <w:p>
      <w:pPr>
        <w:spacing w:before="360" w:after="120"/>
      </w:pPr>
      <w:r>
        <w:rPr>
          <w:b/>
          <w:color w:val="1A365D"/>
          <w:sz w:val="32"/>
        </w:rPr>
        <w:t>3. The 7 Advanced System Capabilities</w:t>
      </w:r>
    </w:p>
    <w:p>
      <w:pPr>
        <w:spacing w:before="40" w:after="100" w:line="276" w:lineRule="auto"/>
      </w:pPr>
      <w:r>
        <w:rPr>
          <w:i w:val="0"/>
          <w:color w:val="2D3748"/>
          <w:sz w:val="21"/>
        </w:rPr>
        <w:t>DIAR was engineered to solve fundamental real-world defects in automated talent assessment:</w:t>
      </w:r>
    </w:p>
    <w:p>
      <w:pPr>
        <w:spacing w:before="240" w:after="80"/>
      </w:pPr>
      <w:r>
        <w:rPr>
          <w:b/>
          <w:color w:val="3182CE"/>
          <w:sz w:val="26"/>
        </w:rPr>
        <w:t>3.1 Context-Aware Skill Categorization</w:t>
      </w:r>
    </w:p>
    <w:p>
      <w:pPr>
        <w:spacing w:before="40" w:after="100" w:line="276" w:lineRule="auto"/>
      </w:pPr>
      <w:r>
        <w:rPr>
          <w:i w:val="0"/>
          <w:color w:val="2D3748"/>
          <w:sz w:val="21"/>
        </w:rPr>
        <w:t>Rather than treating every keyword mention as proof of competency, the extraction module classifies skill mentions into four distinct contextual quadrants:</w:t>
      </w:r>
    </w:p>
    <w:p>
      <w:pPr>
        <w:pStyle w:val="ListBullet"/>
        <w:spacing w:before="40" w:after="60" w:line="276" w:lineRule="auto"/>
      </w:pPr>
      <w:r>
        <w:rPr>
          <w:b/>
          <w:color w:val="1A365D"/>
          <w:sz w:val="21"/>
        </w:rPr>
        <w:t xml:space="preserve">Claimed Skills: </w:t>
      </w:r>
      <w:r>
        <w:rPr>
          <w:color w:val="2D3748"/>
          <w:sz w:val="21"/>
        </w:rPr>
        <w:t>Explicitly claimed experience with verified active usage (e.g., 'developed distributed microservices with Go and Kubernetes'). Full weight = 1.0.</w:t>
      </w:r>
    </w:p>
    <w:p>
      <w:pPr>
        <w:pStyle w:val="ListBullet"/>
        <w:spacing w:before="40" w:after="60" w:line="276" w:lineRule="auto"/>
      </w:pPr>
      <w:r>
        <w:rPr>
          <w:b/>
          <w:color w:val="1A365D"/>
          <w:sz w:val="21"/>
        </w:rPr>
        <w:t xml:space="preserve">Planned Skills: </w:t>
      </w:r>
      <w:r>
        <w:rPr>
          <w:color w:val="2D3748"/>
          <w:sz w:val="21"/>
        </w:rPr>
        <w:t>Future learning intent, educational goals, or career aspirations (e.g., 'actively learning Rust', 'aspiring to master PyTorch'). Modulated weight = 0.35. Acknowledged in trajectory without falsely fulfilling senior requirements.</w:t>
      </w:r>
    </w:p>
    <w:p>
      <w:pPr>
        <w:pStyle w:val="ListBullet"/>
        <w:spacing w:before="40" w:after="60" w:line="276" w:lineRule="auto"/>
      </w:pPr>
      <w:r>
        <w:rPr>
          <w:b/>
          <w:color w:val="1A365D"/>
          <w:sz w:val="21"/>
        </w:rPr>
        <w:t xml:space="preserve">Negated Skills: </w:t>
      </w:r>
      <w:r>
        <w:rPr>
          <w:color w:val="2D3748"/>
          <w:sz w:val="21"/>
        </w:rPr>
        <w:t>Explicit declarations of non-competence, exclusions, or lack of background (e.g., 'no experience with AWS', 'haven't used PHP'). Weight = 0.0 with dedicated negative flag preventing false credit.</w:t>
      </w:r>
    </w:p>
    <w:p>
      <w:pPr>
        <w:pStyle w:val="ListBullet"/>
        <w:spacing w:before="40" w:after="60" w:line="276" w:lineRule="auto"/>
      </w:pPr>
      <w:r>
        <w:rPr>
          <w:b/>
          <w:color w:val="1A365D"/>
          <w:sz w:val="21"/>
        </w:rPr>
        <w:t xml:space="preserve">Uncertain Skills: </w:t>
      </w:r>
      <w:r>
        <w:rPr>
          <w:color w:val="2D3748"/>
          <w:sz w:val="21"/>
        </w:rPr>
        <w:t>Hedging, beginner, or weak self-assessments (e.g., 'basic understanding of Spark', 'familiar with Docker fundamentals'). Modulated weight = 0.50.</w:t>
      </w:r>
    </w:p>
    <w:p>
      <w:pPr>
        <w:spacing w:before="240" w:after="80"/>
      </w:pPr>
      <w:r>
        <w:rPr>
          <w:b/>
          <w:color w:val="3182CE"/>
          <w:sz w:val="26"/>
        </w:rPr>
        <w:t>3.2 Frequency Normalization &amp; Noise Suppression</w:t>
      </w:r>
    </w:p>
    <w:p>
      <w:pPr>
        <w:spacing w:before="40" w:after="100" w:line="276" w:lineRule="auto"/>
      </w:pPr>
      <w:r>
        <w:rPr>
          <w:i w:val="0"/>
          <w:color w:val="2D3748"/>
          <w:sz w:val="21"/>
        </w:rPr>
        <w:t>Candidates frequently repeat high-value keywords to game ATS search filters. DIAR neutralizes keyword stuffing using a sublinear logarithmic saturation model:</w:t>
      </w:r>
    </w:p>
    <w:p>
      <w:pPr>
        <w:spacing w:before="40" w:after="100" w:line="276" w:lineRule="auto"/>
      </w:pPr>
      <w:r>
        <w:rPr>
          <w:i/>
          <w:color w:val="2D3748"/>
          <w:sz w:val="21"/>
        </w:rPr>
        <w:t>W(f) = min(1.0, 0.40 + 0.30 * ln(1 + f))</w:t>
      </w:r>
    </w:p>
    <w:p>
      <w:pPr>
        <w:spacing w:before="40" w:after="100" w:line="276" w:lineRule="auto"/>
      </w:pPr>
      <w:r>
        <w:rPr>
          <w:i w:val="0"/>
          <w:color w:val="2D3748"/>
          <w:sz w:val="21"/>
        </w:rPr>
        <w:t>Under this function, a single high-quality mention yields 0.608 weight, 3 mentions yield 0.816, and infinite repetitions strictly asymptote at 1.0. This prevents artificial signal amplification.</w:t>
      </w:r>
    </w:p>
    <w:p>
      <w:pPr>
        <w:spacing w:before="240" w:after="80"/>
      </w:pPr>
      <w:r>
        <w:rPr>
          <w:b/>
          <w:color w:val="3182CE"/>
          <w:sz w:val="26"/>
        </w:rPr>
        <w:t>3.3 Explicit Data Source State Tracking &amp; Insufficient Evidence Detection</w:t>
      </w:r>
    </w:p>
    <w:p>
      <w:pPr>
        <w:spacing w:before="40" w:after="100" w:line="276" w:lineRule="auto"/>
      </w:pPr>
      <w:r>
        <w:rPr>
          <w:i w:val="0"/>
          <w:color w:val="2D3748"/>
          <w:sz w:val="21"/>
        </w:rPr>
        <w:t>Traditional evaluation systems equate missing information with candidate failure. DIAR explicitly tracks four discrete pipeline ingestion states for each input stream (Resume, GitHub, LinkedIn):</w:t>
      </w:r>
    </w:p>
    <w:p>
      <w:pPr>
        <w:pStyle w:val="ListBullet"/>
        <w:spacing w:before="40" w:after="60" w:line="276" w:lineRule="auto"/>
      </w:pPr>
      <w:r>
        <w:rPr>
          <w:b/>
          <w:color w:val="1A365D"/>
          <w:sz w:val="21"/>
        </w:rPr>
        <w:t xml:space="preserve">not_supplied: </w:t>
      </w:r>
      <w:r>
        <w:rPr>
          <w:color w:val="2D3748"/>
          <w:sz w:val="21"/>
        </w:rPr>
        <w:t>The candidate did not provide this data stream. The alignment engine generates an informational prompt rather than a punishing negative score.</w:t>
      </w:r>
    </w:p>
    <w:p>
      <w:pPr>
        <w:pStyle w:val="ListBullet"/>
        <w:spacing w:before="40" w:after="60" w:line="276" w:lineRule="auto"/>
      </w:pPr>
      <w:r>
        <w:rPr>
          <w:b/>
          <w:color w:val="1A365D"/>
          <w:sz w:val="21"/>
        </w:rPr>
        <w:t xml:space="preserve">partial: </w:t>
      </w:r>
      <w:r>
        <w:rPr>
          <w:color w:val="2D3748"/>
          <w:sz w:val="21"/>
        </w:rPr>
        <w:t>The stream was provided but contained minimal or truncated evidence (e.g., GitHub account with 0 public repositories).</w:t>
      </w:r>
    </w:p>
    <w:p>
      <w:pPr>
        <w:pStyle w:val="ListBullet"/>
        <w:spacing w:before="40" w:after="60" w:line="276" w:lineRule="auto"/>
      </w:pPr>
      <w:r>
        <w:rPr>
          <w:b/>
          <w:color w:val="1A365D"/>
          <w:sz w:val="21"/>
        </w:rPr>
        <w:t xml:space="preserve">failed: </w:t>
      </w:r>
      <w:r>
        <w:rPr>
          <w:color w:val="2D3748"/>
          <w:sz w:val="21"/>
        </w:rPr>
        <w:t>Network timeouts, rate-limits, or corrupted file formats.</w:t>
      </w:r>
    </w:p>
    <w:p>
      <w:pPr>
        <w:pStyle w:val="ListBullet"/>
        <w:spacing w:before="40" w:after="60" w:line="276" w:lineRule="auto"/>
      </w:pPr>
      <w:r>
        <w:rPr>
          <w:b/>
          <w:color w:val="1A365D"/>
          <w:sz w:val="21"/>
        </w:rPr>
        <w:t xml:space="preserve">analysed: </w:t>
      </w:r>
      <w:r>
        <w:rPr>
          <w:color w:val="2D3748"/>
          <w:sz w:val="21"/>
        </w:rPr>
        <w:t>Successfully parsed, extracted, and cross-validated.</w:t>
      </w:r>
    </w:p>
    <w:p>
      <w:pPr>
        <w:spacing w:before="240" w:after="80"/>
      </w:pPr>
      <w:r>
        <w:rPr>
          <w:b/>
          <w:color w:val="3182CE"/>
          <w:sz w:val="26"/>
        </w:rPr>
        <w:t>3.4 Multi-Factor Contextual Scoring Model</w:t>
      </w:r>
    </w:p>
    <w:p>
      <w:pPr>
        <w:spacing w:before="40" w:after="100" w:line="276" w:lineRule="auto"/>
      </w:pPr>
      <w:r>
        <w:rPr>
          <w:i w:val="0"/>
          <w:color w:val="2D3748"/>
          <w:sz w:val="21"/>
        </w:rPr>
        <w:t>The alignment engine balances three distinct dimensions:</w:t>
      </w:r>
    </w:p>
    <w:p>
      <w:pPr>
        <w:pStyle w:val="ListBullet"/>
        <w:spacing w:before="40" w:after="60" w:line="276" w:lineRule="auto"/>
      </w:pPr>
      <w:r>
        <w:rPr>
          <w:b/>
          <w:color w:val="1A365D"/>
          <w:sz w:val="21"/>
        </w:rPr>
        <w:t xml:space="preserve">1. Technical Competence Alignment: </w:t>
      </w:r>
      <w:r>
        <w:rPr>
          <w:color w:val="2D3748"/>
          <w:sz w:val="21"/>
        </w:rPr>
        <w:t>Evaluates core benchmark requirements against claimed skills (1.0 weight) and uncertain skills (0.5 weight).</w:t>
      </w:r>
    </w:p>
    <w:p>
      <w:pPr>
        <w:pStyle w:val="ListBullet"/>
        <w:spacing w:before="40" w:after="60" w:line="276" w:lineRule="auto"/>
      </w:pPr>
      <w:r>
        <w:rPr>
          <w:b/>
          <w:color w:val="1A365D"/>
          <w:sz w:val="21"/>
        </w:rPr>
        <w:t xml:space="preserve">2. Growth Trajectory Alignment: </w:t>
      </w:r>
      <w:r>
        <w:rPr>
          <w:color w:val="2D3748"/>
          <w:sz w:val="21"/>
        </w:rPr>
        <w:t>Rewards candidates proactively learning skills listed in benchmark secondary/nice-to-have matrices.</w:t>
      </w:r>
    </w:p>
    <w:p>
      <w:pPr>
        <w:pStyle w:val="ListBullet"/>
        <w:spacing w:before="40" w:after="60" w:line="276" w:lineRule="auto"/>
      </w:pPr>
      <w:r>
        <w:rPr>
          <w:b/>
          <w:color w:val="1A365D"/>
          <w:sz w:val="21"/>
        </w:rPr>
        <w:t xml:space="preserve">3. Evidence Source Authority: </w:t>
      </w:r>
      <w:r>
        <w:rPr>
          <w:color w:val="2D3748"/>
          <w:sz w:val="21"/>
        </w:rPr>
        <w:t>Weighting factors derived from verifiable code production (GitHub repos and languages) versus self-reported claims.</w:t>
      </w:r>
    </w:p>
    <w:p>
      <w:pPr>
        <w:spacing w:before="240" w:after="80"/>
      </w:pPr>
      <w:r>
        <w:rPr>
          <w:b/>
          <w:color w:val="3182CE"/>
          <w:sz w:val="26"/>
        </w:rPr>
        <w:t>3.5 GitHub Recency &amp; Stale Codebase Penalties</w:t>
      </w:r>
    </w:p>
    <w:p>
      <w:pPr>
        <w:spacing w:before="40" w:after="100" w:line="276" w:lineRule="auto"/>
      </w:pPr>
      <w:r>
        <w:rPr>
          <w:i w:val="0"/>
          <w:color w:val="2D3748"/>
          <w:sz w:val="21"/>
        </w:rPr>
        <w:t>GitHub analysis goes beyond repo count by examining push dates and commit recency:</w:t>
      </w:r>
    </w:p>
    <w:p>
      <w:pPr>
        <w:pStyle w:val="ListBullet"/>
        <w:spacing w:before="40" w:after="60" w:line="276" w:lineRule="auto"/>
      </w:pPr>
      <w:r>
        <w:rPr>
          <w:b/>
          <w:color w:val="1A365D"/>
          <w:sz w:val="21"/>
        </w:rPr>
        <w:t xml:space="preserve">Active Multiplier: </w:t>
      </w:r>
      <w:r>
        <w:rPr>
          <w:color w:val="2D3748"/>
          <w:sz w:val="21"/>
        </w:rPr>
        <w:t>Active repositories with commits in the last 6 months receive maximum authority multipliers (1.0).</w:t>
      </w:r>
    </w:p>
    <w:p>
      <w:pPr>
        <w:pStyle w:val="ListBullet"/>
        <w:spacing w:before="40" w:after="60" w:line="276" w:lineRule="auto"/>
      </w:pPr>
      <w:r>
        <w:rPr>
          <w:b/>
          <w:color w:val="1A365D"/>
          <w:sz w:val="21"/>
        </w:rPr>
        <w:t xml:space="preserve">Stale Codebase Penalty: </w:t>
      </w:r>
      <w:r>
        <w:rPr>
          <w:color w:val="2D3748"/>
          <w:sz w:val="21"/>
        </w:rPr>
        <w:t>Codebases unmaintained for over 2 years undergo a decaying authority penalty (up to -20% confidence), preventing decades-old student homework from masquerading as current production expertise.</w:t>
      </w:r>
    </w:p>
    <w:p>
      <w:pPr>
        <w:spacing w:before="240" w:after="80"/>
      </w:pPr>
      <w:r>
        <w:rPr>
          <w:b/>
          <w:color w:val="3182CE"/>
          <w:sz w:val="26"/>
        </w:rPr>
        <w:t>3.6 Granular Privacy Controls &amp; Dynamic PII Redaction</w:t>
      </w:r>
    </w:p>
    <w:p>
      <w:pPr>
        <w:spacing w:before="40" w:after="100" w:line="276" w:lineRule="auto"/>
      </w:pPr>
      <w:r>
        <w:rPr>
          <w:i w:val="0"/>
          <w:color w:val="2D3748"/>
          <w:sz w:val="21"/>
        </w:rPr>
        <w:t>User privacy preferences are dynamically enforced at runtime:</w:t>
      </w:r>
    </w:p>
    <w:p>
      <w:pPr>
        <w:pStyle w:val="ListBullet"/>
        <w:spacing w:before="40" w:after="60" w:line="276" w:lineRule="auto"/>
      </w:pPr>
      <w:r>
        <w:rPr>
          <w:b/>
          <w:color w:val="1A365D"/>
          <w:sz w:val="21"/>
        </w:rPr>
        <w:t xml:space="preserve">Fully Public: </w:t>
      </w:r>
      <w:r>
        <w:rPr>
          <w:color w:val="2D3748"/>
          <w:sz w:val="21"/>
        </w:rPr>
        <w:t>Displays comprehensive technical metrics, full GitHub commit recency, and complete identity footprint.</w:t>
      </w:r>
    </w:p>
    <w:p>
      <w:pPr>
        <w:pStyle w:val="ListBullet"/>
        <w:spacing w:before="40" w:after="60" w:line="276" w:lineRule="auto"/>
      </w:pPr>
      <w:r>
        <w:rPr>
          <w:b/>
          <w:color w:val="1A365D"/>
          <w:sz w:val="21"/>
        </w:rPr>
        <w:t xml:space="preserve">Semi-Public: </w:t>
      </w:r>
      <w:r>
        <w:rPr>
          <w:color w:val="2D3748"/>
          <w:sz w:val="21"/>
        </w:rPr>
        <w:t>Masks sensitive direct identifiers while preserving technical capability profiles and benchmark gaps.</w:t>
      </w:r>
    </w:p>
    <w:p>
      <w:pPr>
        <w:pStyle w:val="ListBullet"/>
        <w:spacing w:before="40" w:after="60" w:line="276" w:lineRule="auto"/>
      </w:pPr>
      <w:r>
        <w:rPr>
          <w:b/>
          <w:color w:val="1A365D"/>
          <w:sz w:val="21"/>
        </w:rPr>
        <w:t xml:space="preserve">Privacy Focused: </w:t>
      </w:r>
      <w:r>
        <w:rPr>
          <w:color w:val="2D3748"/>
          <w:sz w:val="21"/>
        </w:rPr>
        <w:t>Applies automated regex sanitization to redact emails (e***@***.***), phone numbers ([REDACTED PHONE]), and specific repository handles, presenting an anonymized competency audit.</w:t>
      </w:r>
    </w:p>
    <w:p>
      <w:pPr>
        <w:spacing w:before="240" w:after="80"/>
      </w:pPr>
      <w:r>
        <w:rPr>
          <w:b/>
          <w:color w:val="3182CE"/>
          <w:sz w:val="26"/>
        </w:rPr>
        <w:t>3.7 Automated Validation &amp; Regression Test Suite</w:t>
      </w:r>
    </w:p>
    <w:p>
      <w:pPr>
        <w:spacing w:before="40" w:after="100" w:line="276" w:lineRule="auto"/>
      </w:pPr>
      <w:r>
        <w:rPr>
          <w:i w:val="0"/>
          <w:color w:val="2D3748"/>
          <w:sz w:val="21"/>
        </w:rPr>
        <w:t>The backend includes a comprehensive pytest suite (backend/tests/test_pipeline.py) comprising 12 automated unit and integration tests covering negation parsing, frequency saturation, GitHub recency evaluation, ML inference, and API endpoint lifecycles with 100% test pass rate.</w:t>
      </w:r>
    </w:p>
    <w:p>
      <w:pPr>
        <w:spacing w:before="360" w:after="120"/>
      </w:pPr>
      <w:r>
        <w:rPr>
          <w:b/>
          <w:color w:val="1A365D"/>
          <w:sz w:val="32"/>
        </w:rPr>
        <w:t>4. Machine Learning Component &amp; Dataset Details</w:t>
      </w:r>
    </w:p>
    <w:p>
      <w:pPr>
        <w:spacing w:before="40" w:after="100" w:line="276" w:lineRule="auto"/>
      </w:pPr>
      <w:r>
        <w:rPr>
          <w:i w:val="0"/>
          <w:color w:val="2D3748"/>
          <w:sz w:val="21"/>
        </w:rPr>
        <w:t>DIAR features a supervised Machine Learning Role Classifier deployed alongside rule-based engines to provide an orthogonal, probabilistic perspective on the candidate's professional archetype.</w:t>
      </w:r>
    </w:p>
    <w:p>
      <w:pPr>
        <w:spacing w:before="240" w:after="80"/>
      </w:pPr>
      <w:r>
        <w:rPr>
          <w:b/>
          <w:color w:val="3182CE"/>
          <w:sz w:val="26"/>
        </w:rPr>
        <w:t>4.1 Benchmark Roles Supported</w:t>
      </w:r>
    </w:p>
    <w:p>
      <w:pPr>
        <w:pStyle w:val="ListBullet"/>
        <w:spacing w:before="40" w:after="60" w:line="276" w:lineRule="auto"/>
      </w:pPr>
      <w:r>
        <w:rPr>
          <w:b/>
          <w:color w:val="1A365D"/>
          <w:sz w:val="21"/>
        </w:rPr>
        <w:t xml:space="preserve">1. AI Engineer: </w:t>
      </w:r>
      <w:r>
        <w:rPr>
          <w:color w:val="2D3748"/>
          <w:sz w:val="21"/>
        </w:rPr>
        <w:t>Focus: PyTorch, TensorFlow, Deep Learning, MLOps, Model Optimization, Distributed Training.</w:t>
      </w:r>
    </w:p>
    <w:p>
      <w:pPr>
        <w:pStyle w:val="ListBullet"/>
        <w:spacing w:before="40" w:after="60" w:line="276" w:lineRule="auto"/>
      </w:pPr>
      <w:r>
        <w:rPr>
          <w:b/>
          <w:color w:val="1A365D"/>
          <w:sz w:val="21"/>
        </w:rPr>
        <w:t xml:space="preserve">2. Data Scientist: </w:t>
      </w:r>
      <w:r>
        <w:rPr>
          <w:color w:val="2D3748"/>
          <w:sz w:val="21"/>
        </w:rPr>
        <w:t>Focus: Data Pipelines, SQL, Spark, Pandas, Scikit-Learn, Statistical Modeling, Feature Engineering.</w:t>
      </w:r>
    </w:p>
    <w:p>
      <w:pPr>
        <w:pStyle w:val="ListBullet"/>
        <w:spacing w:before="40" w:after="60" w:line="276" w:lineRule="auto"/>
      </w:pPr>
      <w:r>
        <w:rPr>
          <w:b/>
          <w:color w:val="1A365D"/>
          <w:sz w:val="21"/>
        </w:rPr>
        <w:t xml:space="preserve">3. Software Engineer: </w:t>
      </w:r>
      <w:r>
        <w:rPr>
          <w:color w:val="2D3748"/>
          <w:sz w:val="21"/>
        </w:rPr>
        <w:t>Focus: REST APIs, FastAPI, Docker, Microservices, CI/CD, React, TypeScript, Clean Code.</w:t>
      </w:r>
    </w:p>
    <w:p>
      <w:pPr>
        <w:pStyle w:val="ListBullet"/>
        <w:spacing w:before="40" w:after="60" w:line="276" w:lineRule="auto"/>
      </w:pPr>
      <w:r>
        <w:rPr>
          <w:b/>
          <w:color w:val="1A365D"/>
          <w:sz w:val="21"/>
        </w:rPr>
        <w:t xml:space="preserve">4. Researcher: </w:t>
      </w:r>
      <w:r>
        <w:rPr>
          <w:color w:val="2D3748"/>
          <w:sz w:val="21"/>
        </w:rPr>
        <w:t>Focus: Peer-Reviewed Publications, Experimental Design, LaTeX, Novel Algorithms, Theoretical CS.</w:t>
      </w:r>
    </w:p>
    <w:p>
      <w:pPr>
        <w:pStyle w:val="ListBullet"/>
        <w:spacing w:before="40" w:after="60" w:line="276" w:lineRule="auto"/>
      </w:pPr>
      <w:r>
        <w:rPr>
          <w:b/>
          <w:color w:val="1A365D"/>
          <w:sz w:val="21"/>
        </w:rPr>
        <w:t xml:space="preserve">5. Entrepreneur: </w:t>
      </w:r>
      <w:r>
        <w:rPr>
          <w:color w:val="2D3748"/>
          <w:sz w:val="21"/>
        </w:rPr>
        <w:t>Focus: Product-Market Fit, Fundraising, Pitch Decks, Lean Startup, Customer Discovery, Agile.</w:t>
      </w:r>
    </w:p>
    <w:p>
      <w:pPr>
        <w:spacing w:before="240" w:after="80"/>
      </w:pPr>
      <w:r>
        <w:rPr>
          <w:b/>
          <w:color w:val="3182CE"/>
          <w:sz w:val="26"/>
        </w:rPr>
        <w:t>4.2 Curated Dataset</w:t>
      </w:r>
    </w:p>
    <w:p>
      <w:pPr>
        <w:spacing w:before="40" w:after="100" w:line="276" w:lineRule="auto"/>
      </w:pPr>
      <w:r>
        <w:rPr>
          <w:i w:val="0"/>
          <w:color w:val="2D3748"/>
          <w:sz w:val="21"/>
        </w:rPr>
        <w:t>Located at backend/app/data/career_profiles_dataset.csv, the training corpus contains 75 balanced profile records (15 per archetype). Each record combines realistic resume summaries, technical stack declarations, and project responsibilities.</w:t>
      </w:r>
    </w:p>
    <w:p>
      <w:pPr>
        <w:spacing w:before="240" w:after="80"/>
      </w:pPr>
      <w:r>
        <w:rPr>
          <w:b/>
          <w:color w:val="3182CE"/>
          <w:sz w:val="26"/>
        </w:rPr>
        <w:t>4.3 Model Architecture &amp; Training Results</w:t>
      </w:r>
    </w:p>
    <w:p>
      <w:pPr>
        <w:pStyle w:val="ListBullet"/>
        <w:spacing w:before="40" w:after="60" w:line="276" w:lineRule="auto"/>
      </w:pPr>
      <w:r>
        <w:rPr>
          <w:b/>
          <w:color w:val="1A365D"/>
          <w:sz w:val="21"/>
        </w:rPr>
        <w:t xml:space="preserve">Feature Vectorizer: TF-IDF: </w:t>
      </w:r>
      <w:r>
        <w:rPr>
          <w:color w:val="2D3748"/>
          <w:sz w:val="21"/>
        </w:rPr>
        <w:t>Extracts unigrams and bigrams (ngram_range=(1,2)) with English stopword removal and sublinear term frequency scaling (sublinear_tf=True).</w:t>
      </w:r>
    </w:p>
    <w:p>
      <w:pPr>
        <w:pStyle w:val="ListBullet"/>
        <w:spacing w:before="40" w:after="60" w:line="276" w:lineRule="auto"/>
      </w:pPr>
      <w:r>
        <w:rPr>
          <w:b/>
          <w:color w:val="1A365D"/>
          <w:sz w:val="21"/>
        </w:rPr>
        <w:t xml:space="preserve">Classifier: Multinomial Logistic Regression: </w:t>
      </w:r>
      <w:r>
        <w:rPr>
          <w:color w:val="2D3748"/>
          <w:sz w:val="21"/>
        </w:rPr>
        <w:t>Multi-class Logistic Regression with L2 regularization (C=1.0) and Softmax probability calibration.</w:t>
      </w:r>
    </w:p>
    <w:p>
      <w:pPr>
        <w:pStyle w:val="ListBullet"/>
        <w:spacing w:before="40" w:after="60" w:line="276" w:lineRule="auto"/>
      </w:pPr>
      <w:r>
        <w:rPr>
          <w:b/>
          <w:color w:val="1A365D"/>
          <w:sz w:val="21"/>
        </w:rPr>
        <w:t xml:space="preserve">Cross-Validation Accuracy: </w:t>
      </w:r>
      <w:r>
        <w:rPr>
          <w:color w:val="2D3748"/>
          <w:sz w:val="21"/>
        </w:rPr>
        <w:t>Stratified 5-Fold Cross-Validation yields 97.33% mean accuracy across unseen candidate profiles.</w:t>
      </w:r>
    </w:p>
    <w:p>
      <w:pPr>
        <w:pStyle w:val="ListBullet"/>
        <w:spacing w:before="40" w:after="60" w:line="276" w:lineRule="auto"/>
      </w:pPr>
      <w:r>
        <w:rPr>
          <w:b/>
          <w:color w:val="1A365D"/>
          <w:sz w:val="21"/>
        </w:rPr>
        <w:t xml:space="preserve">Inference Output: </w:t>
      </w:r>
      <w:r>
        <w:rPr>
          <w:color w:val="2D3748"/>
          <w:sz w:val="21"/>
        </w:rPr>
        <w:t>The pipeline returns the top predicted role, confidence score (0-100%), full probability distribution across all 5 archetypes, and top indicative feature tokens.</w:t>
      </w:r>
    </w:p>
    <w:p>
      <w:pPr>
        <w:spacing w:before="360" w:after="120"/>
      </w:pPr>
      <w:r>
        <w:rPr>
          <w:b/>
          <w:color w:val="1A365D"/>
          <w:sz w:val="32"/>
        </w:rPr>
        <w:t>5. How to Run, Test, and Deploy</w:t>
      </w:r>
    </w:p>
    <w:p>
      <w:pPr>
        <w:spacing w:before="40" w:after="100" w:line="276" w:lineRule="auto"/>
      </w:pPr>
      <w:r>
        <w:rPr>
          <w:i w:val="0"/>
          <w:color w:val="2D3748"/>
          <w:sz w:val="21"/>
        </w:rPr>
        <w:t>The DIAR system is engineered with minimal external friction and runs on standard Python 3.10+ environments:</w:t>
      </w:r>
    </w:p>
    <w:p>
      <w:pPr>
        <w:spacing w:before="240" w:after="80"/>
      </w:pPr>
      <w:r>
        <w:rPr>
          <w:b/>
          <w:color w:val="3182CE"/>
          <w:sz w:val="26"/>
        </w:rPr>
        <w:t>5.1 Virtual Environment Setup</w:t>
      </w:r>
    </w:p>
    <w:p>
      <w:pPr>
        <w:spacing w:before="40" w:after="100" w:line="276" w:lineRule="auto"/>
      </w:pPr>
      <w:r>
        <w:rPr>
          <w:i w:val="0"/>
          <w:color w:val="2D3748"/>
          <w:sz w:val="21"/>
        </w:rPr>
        <w:t>Create and activate an isolated virtual environment to prevent package collisions:</w:t>
      </w:r>
    </w:p>
    <w:p>
      <w:pPr>
        <w:spacing w:before="40" w:after="100" w:line="276" w:lineRule="auto"/>
      </w:pPr>
      <w:r>
        <w:rPr>
          <w:i/>
          <w:color w:val="2D3748"/>
          <w:sz w:val="21"/>
        </w:rPr>
        <w:t>Windows (PowerShell):</w:t>
        <w:br/>
        <w:t xml:space="preserve">  python -m venv .venv</w:t>
        <w:br/>
        <w:t xml:space="preserve">  .venv\Scripts\Activate.ps1</w:t>
        <w:br/>
        <w:br/>
        <w:t>macOS / Linux:</w:t>
        <w:br/>
        <w:t xml:space="preserve">  python3 -m venv .venv</w:t>
        <w:br/>
        <w:t xml:space="preserve">  source .venv/bin/activate</w:t>
      </w:r>
    </w:p>
    <w:p>
      <w:pPr>
        <w:spacing w:before="240" w:after="80"/>
      </w:pPr>
      <w:r>
        <w:rPr>
          <w:b/>
          <w:color w:val="3182CE"/>
          <w:sz w:val="26"/>
        </w:rPr>
        <w:t>5.2 Dependency Installation</w:t>
      </w:r>
    </w:p>
    <w:p>
      <w:pPr>
        <w:spacing w:before="40" w:after="100" w:line="276" w:lineRule="auto"/>
      </w:pPr>
      <w:r>
        <w:rPr>
          <w:i/>
          <w:color w:val="2D3748"/>
          <w:sz w:val="21"/>
        </w:rPr>
        <w:t>Navigate to the backend directory and install required packages:</w:t>
        <w:br/>
        <w:t xml:space="preserve">  cd backend</w:t>
        <w:br/>
        <w:t xml:space="preserve">  pip install -r requirements.txt</w:t>
      </w:r>
    </w:p>
    <w:p>
      <w:pPr>
        <w:spacing w:before="240" w:after="80"/>
      </w:pPr>
      <w:r>
        <w:rPr>
          <w:b/>
          <w:color w:val="3182CE"/>
          <w:sz w:val="26"/>
        </w:rPr>
        <w:t>5.3 Running the Automated Test Suite</w:t>
      </w:r>
    </w:p>
    <w:p>
      <w:pPr>
        <w:spacing w:before="40" w:after="100" w:line="276" w:lineRule="auto"/>
      </w:pPr>
      <w:r>
        <w:rPr>
          <w:i/>
          <w:color w:val="2D3748"/>
          <w:sz w:val="21"/>
        </w:rPr>
        <w:t>Execute the pytest regression suite:</w:t>
        <w:br/>
        <w:t xml:space="preserve">  python -m pytest tests/test_pipeline.py -v</w:t>
        <w:br/>
        <w:t>(All 12 tests validate pipeline components).</w:t>
      </w:r>
    </w:p>
    <w:p>
      <w:pPr>
        <w:spacing w:before="240" w:after="80"/>
      </w:pPr>
      <w:r>
        <w:rPr>
          <w:b/>
          <w:color w:val="3182CE"/>
          <w:sz w:val="26"/>
        </w:rPr>
        <w:t>5.4 Starting the Backend &amp; Frontend</w:t>
      </w:r>
    </w:p>
    <w:p>
      <w:pPr>
        <w:spacing w:before="40" w:after="100" w:line="276" w:lineRule="auto"/>
      </w:pPr>
      <w:r>
        <w:rPr>
          <w:i/>
          <w:color w:val="2D3748"/>
          <w:sz w:val="21"/>
        </w:rPr>
        <w:t>Terminal 1 (Backend API):</w:t>
        <w:br/>
        <w:t xml:space="preserve">  cd backend</w:t>
        <w:br/>
        <w:t xml:space="preserve">  python -m uvicorn app.main:app --reload --port 8000</w:t>
        <w:br/>
        <w:t xml:space="preserve">  Interactive Docs: http://localhost:8000/docs</w:t>
      </w:r>
    </w:p>
    <w:p>
      <w:pPr>
        <w:spacing w:before="40" w:after="100" w:line="276" w:lineRule="auto"/>
      </w:pPr>
      <w:r>
        <w:rPr>
          <w:i/>
          <w:color w:val="2D3748"/>
          <w:sz w:val="21"/>
        </w:rPr>
        <w:t>Terminal 2 (Frontend Client):</w:t>
        <w:br/>
        <w:t xml:space="preserve">  cd frontend</w:t>
        <w:br/>
        <w:t xml:space="preserve">  python -m http.server 5173</w:t>
        <w:br/>
        <w:t xml:space="preserve">  Dashboard UI: http://localhost:5173</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