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This Amended and Restated Operating Agreement is entered into on this _____ day of June, 2025, by and among the persons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persons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r w:rsidRPr="00CC6850">
        <w:rPr>
          <w:b/>
          <w:bCs/>
          <w:sz w:val="22"/>
          <w:szCs w:val="20"/>
        </w:rPr>
        <w:t>#</w:t>
      </w:r>
      <w:r w:rsidR="00A536A4" w:rsidRPr="00CC6850">
        <w:rPr>
          <w:b/>
          <w:bCs/>
          <w:sz w:val="22"/>
          <w:szCs w:val="20"/>
        </w:rPr>
        <w:t>99169956</w:t>
      </w:r>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Heritage IRA FBO Wesley Dale Browning Roth IRA #</w:t>
      </w:r>
      <w:r w:rsidR="0037362C" w:rsidRPr="00CC6850">
        <w:rPr>
          <w:b/>
          <w:bCs/>
          <w:sz w:val="22"/>
          <w:u w:val="single"/>
        </w:rPr>
        <w:t>8870274</w:t>
      </w:r>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r w:rsidR="0038070B" w:rsidRPr="00CC6850">
        <w:rPr>
          <w:b/>
          <w:bCs/>
          <w:sz w:val="22"/>
          <w:u w:val="single"/>
        </w:rPr>
        <w:t>61077178</w:t>
      </w:r>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