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rsidRPr="003D0C0A">
        <w:rPr>
          <w:szCs w:val="24"/>
        </w:rPr>
        <w:t>This Section provides a brief summary of each Article in the Operating Agreement for Sell Your Home, LLC.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Additional offices allowed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Members can inspect records with written request but must not misuse info.</w:t>
      </w:r>
    </w:p>
    <w:p w14:paraId="5ECCB540" w14:textId="77777777" w:rsidR="00722184" w:rsidRPr="004C6572" w:rsidRDefault="00722184" w:rsidP="007A3BE0">
      <w:pPr>
        <w:widowControl w:val="0"/>
        <w:numPr>
          <w:ilvl w:val="0"/>
          <w:numId w:val="13"/>
        </w:numPr>
        <w:spacing w:after="0"/>
        <w:rPr>
          <w:szCs w:val="24"/>
        </w:rPr>
      </w:pPr>
      <w:r w:rsidRPr="004C6572">
        <w:rPr>
          <w:szCs w:val="24"/>
        </w:rPr>
        <w:lastRenderedPageBreak/>
        <w:t>Business is limited to residential real estate investment.</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If a Member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More than 50% of voting Units required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Manager(s) need not be Members and cannot be disqualified persons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Legal costs may be advanced before proceedings conclude if the Manager agrees to repay if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Company can borrow for real estate only with 75% Member approval; disqualified persons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