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on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lastRenderedPageBreak/>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Members can only contribute additional capital if the IRS provides written confirmation that it won’t violate prohibited transaction rules. Any approved contributions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