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retirement, resignation, expulsion, bankruptcy or dissolution of a Member or the occurrence of any other event which terminates the continued membership of a</w:t>
      </w:r>
      <w:r w:rsidR="00562F0C" w:rsidRPr="006B2013">
        <w:rPr>
          <w:sz w:val="22"/>
        </w:rPr>
        <w:t xml:space="preserve"> </w:t>
      </w:r>
      <w:r w:rsidRPr="006B2013">
        <w:rPr>
          <w:sz w:val="22"/>
        </w:rPr>
        <w:t>Member in the Company;</w:t>
      </w:r>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adjudicated incapacity of an individual Member;</w:t>
      </w:r>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Company’s bankruptcy;</w:t>
      </w:r>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unanimous decision of the Members to dissolve the Company;</w:t>
      </w:r>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the cessation to exist as a legal entity of the sole remaining Member;</w:t>
      </w:r>
    </w:p>
    <w:p w14:paraId="6AA4CA93" w14:textId="54B9508E" w:rsidR="001F6CD0" w:rsidRPr="006B2013" w:rsidRDefault="00E4676D" w:rsidP="007A3BE0">
      <w:pPr>
        <w:pStyle w:val="Heading3"/>
        <w:keepNext w:val="0"/>
        <w:keepLines w:val="0"/>
        <w:widowControl w:val="0"/>
        <w:numPr>
          <w:ilvl w:val="2"/>
          <w:numId w:val="10"/>
        </w:numPr>
        <w:rPr>
          <w:sz w:val="22"/>
        </w:rPr>
      </w:pPr>
      <w:r w:rsidRPr="006B2013">
        <w:rPr>
          <w:color w:val="0070C0"/>
          <w:sz w:val="22"/>
        </w:rPr>
        <w:t>it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The Company will dissolve if required by North Carolina law, through automatic 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 xml:space="preserve">Fifth, any remaining assets are distributed to Members based on their percentage </w:t>
      </w:r>
      <w:r w:rsidRPr="006B2013">
        <w:rPr>
          <w:color w:val="0070C0"/>
          <w:sz w:val="22"/>
        </w:rPr>
        <w:lastRenderedPageBreak/>
        <w:t>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