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eastAsia="Calibri"/>
          <w:b/>
          <w:color w:val="8B1E2D"/>
          <w:sz w:val="21"/>
        </w:rPr>
        <w:t>CONFIDENTIAL MEDIATION PREPARATION</w:t>
      </w:r>
    </w:p>
    <w:p>
      <w:pPr>
        <w:keepNext/>
        <w:spacing w:before="40" w:after="100"/>
        <w:pBdr>
          <w:bottom w:val="single" w:sz="18" w:space="7" w:color="19324D"/>
        </w:pBdr>
      </w:pPr>
      <w:r>
        <w:rPr>
          <w:rFonts w:ascii="Calibri" w:hAnsi="Calibri" w:eastAsia="Calibri"/>
          <w:b/>
          <w:color w:val="19324D"/>
          <w:sz w:val="48"/>
        </w:rPr>
        <w:t>Confidential Mediation Timeline,</w:t>
        <w:br/>
        <w:t>Financials, and Proposed Sequence</w:t>
      </w:r>
    </w:p>
    <w:p>
      <w:pPr>
        <w:spacing w:before="200" w:after="320"/>
      </w:pPr>
      <w:r>
        <w:rPr>
          <w:rFonts w:ascii="Calibri" w:hAnsi="Calibri" w:eastAsia="Calibri"/>
          <w:b/>
          <w:i/>
          <w:color w:val="2E5D7B"/>
          <w:sz w:val="30"/>
        </w:rPr>
        <w:t>Griffith v. Browning</w:t>
      </w:r>
      <w:r>
        <w:rPr>
          <w:rFonts w:ascii="Calibri" w:hAnsi="Calibri" w:eastAsia="Calibri"/>
          <w:color w:val="4D5B68"/>
          <w:sz w:val="22"/>
        </w:rPr>
        <w:br/>
        <w:t>Wake County Superior Court  |  24CV037077-910</w:t>
      </w:r>
    </w:p>
    <w:p>
      <w:pPr>
        <w:spacing w:after="40"/>
        <w:ind w:left="115"/>
      </w:pPr>
      <w:r>
        <w:t>Prepared:  August 14, 2026</w:t>
      </w:r>
    </w:p>
    <w:p>
      <w:pPr>
        <w:spacing w:after="40"/>
        <w:ind w:left="115"/>
      </w:pPr>
      <w:r>
        <w:t>Version:  1.2</w:t>
      </w:r>
    </w:p>
    <w:p>
      <w:pPr>
        <w:spacing w:after="40"/>
        <w:ind w:left="115"/>
      </w:pPr>
      <w:r>
        <w:rPr>
          <w:rFonts w:ascii="Calibri" w:hAnsi="Calibri" w:eastAsia="Calibri"/>
          <w:b/>
          <w:color w:val="19324D"/>
          <w:sz w:val="21"/>
        </w:rPr>
        <w:t xml:space="preserve">Purpose:  </w:t>
      </w:r>
      <w:r>
        <w:rPr>
          <w:rFonts w:ascii="Calibri" w:hAnsi="Calibri" w:eastAsia="Calibri"/>
          <w:color w:val="1A1A1A"/>
          <w:sz w:val="21"/>
        </w:rPr>
        <w:t>Attorney review and internal mediation preparation</w:t>
      </w:r>
    </w:p>
    <w:p>
      <w:pPr>
        <w:spacing w:after="40"/>
        <w:ind w:left="115"/>
      </w:pPr>
      <w:r>
        <w:rPr>
          <w:rFonts w:ascii="Calibri" w:hAnsi="Calibri" w:eastAsia="Calibri"/>
          <w:b/>
          <w:color w:val="19324D"/>
          <w:sz w:val="21"/>
        </w:rPr>
        <w:t>Audience:  Keith, Wes, and Jenny</w:t>
      </w:r>
      <w:r>
        <w:rPr>
          <w:rFonts w:ascii="Calibri" w:hAnsi="Calibri" w:eastAsia="Calibri"/>
          <w:color w:val="1A1A1A"/>
          <w:sz w:val="21"/>
        </w:rPr>
      </w:r>
    </w:p>
    <w:p>
      <w:pPr>
        <w:pStyle w:val="Heading1"/>
      </w:pPr>
      <w:r>
        <w:t>Executive Summary</w:t>
      </w:r>
    </w:p>
    <w:p>
      <w:r>
        <w:rPr>
          <w:rFonts w:ascii="Calibri" w:hAnsi="Calibri" w:eastAsia="Calibri"/>
          <w:b w:val="0"/>
          <w:i w:val="0"/>
          <w:color w:val="1A1A1A"/>
        </w:rPr>
        <w:t xml:space="preserve">Jenny's figures support two different financial presentations. A current sale cash-flow calculation produces an estimated </w:t>
      </w:r>
      <w:r>
        <w:rPr>
          <w:rFonts w:ascii="Calibri" w:hAnsi="Calibri" w:eastAsia="Calibri"/>
          <w:b/>
          <w:i w:val="0"/>
          <w:color w:val="1A1A1A"/>
        </w:rPr>
        <w:t>$7,308 to $17,308</w:t>
      </w:r>
      <w:r>
        <w:rPr>
          <w:rFonts w:ascii="Calibri" w:hAnsi="Calibri" w:eastAsia="Calibri"/>
          <w:b w:val="0"/>
          <w:i w:val="0"/>
          <w:color w:val="1A1A1A"/>
        </w:rPr>
        <w:t xml:space="preserve"> before historical acquisition/cure costs and litigation expenses. A broader economic calculation becomes negative after including historical HELOC payoff/cure amounts, but the source record contains conflicting figures and a possible overlap between the $6,267 reinstatement and $28,267 payoff. Those amounts must be reconciled before mediation.</w:t>
      </w:r>
    </w:p>
    <w:p>
      <w:r>
        <w:br w:type="page"/>
      </w:r>
    </w:p>
    <w:p>
      <w:pPr>
        <w:pStyle w:val="Heading1"/>
      </w:pPr>
      <w:r>
        <w:t>Corrected Timeline</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1300"/>
        <w:gridCol w:w="2550"/>
        <w:gridCol w:w="4210"/>
        <w:gridCol w:w="1300"/>
      </w:tblGrid>
      <w:tr>
        <w:trPr>
          <w:tblHeader w:val="true"/>
          <w:cantSplit/>
        </w:trPr>
        <w:tc>
          <w:tcPr>
            <w:tcW w:type="dxa" w:w="13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Date</w:t>
            </w:r>
          </w:p>
        </w:tc>
        <w:tc>
          <w:tcPr>
            <w:tcW w:type="dxa" w:w="255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Event</w:t>
            </w:r>
          </w:p>
        </w:tc>
        <w:tc>
          <w:tcPr>
            <w:tcW w:type="dxa" w:w="421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Source and correction</w:t>
            </w:r>
          </w:p>
        </w:tc>
        <w:tc>
          <w:tcPr>
            <w:tcW w:type="dxa" w:w="1300"/>
            <w:tcMar>
              <w:top w:w="100" w:type="dxa"/>
              <w:start w:w="120" w:type="dxa"/>
              <w:bottom w:w="100" w:type="dxa"/>
              <w:end w:w="120" w:type="dxa"/>
            </w:tcMar>
            <w:vAlign w:val="center"/>
            <w:shd w:fill="19324D"/>
          </w:tcPr>
          <w:p>
            <w:pPr>
              <w:spacing w:before="0" w:after="0" w:line="240" w:lineRule="auto"/>
              <w:jc w:val="center"/>
            </w:pPr>
            <w:r>
              <w:rPr>
                <w:rFonts w:ascii="Calibri" w:hAnsi="Calibri" w:eastAsia="Calibri"/>
                <w:b/>
                <w:i w:val="0"/>
                <w:color w:val="FFFFFF"/>
                <w:sz w:val="16"/>
              </w:rPr>
              <w:t>Confidence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Year of 2023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Brynda's journals left in the house reportedly reinforce that she knew about the foreclosure, took an investor to her attorney for advice about an offer, understood that she had sold the property to Wes's company, documented rent due, and referred to what her landlord would think of improvements offered by a neighbor.</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(Wes noted, August 10, 2026.) The identified 16-page file titled 2024 Brynda Griffith's Handwritten Notes for Wes contains contact, medical, and grocery-order material rather than these entries. Obtain and cite the actual journal pages before relying on these assertions as primary evidence.</w:t>
            </w:r>
            <w:r>
              <w:rPr>
                <w:rFonts w:ascii="Calibri" w:hAnsi="Calibri" w:eastAsia="Calibri"/>
                <w:b w:val="0"/>
                <w:i w:val="0"/>
                <w:color w:val="1A1A1A"/>
                <w:sz w:val="16"/>
              </w:rPr>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Wes-provided assertion; primary journal pages not yet located</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2023-09-13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Foreclosure notice issued concerning 115 Rosebrooks Drive.</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23-09-13 Notice of Foreclosure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Brynda met with attorney Kevin Huston and Duane Wilson concerning a possible sale while foreclosure was pending.</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Huston continued deposition 132:9-25 through 135:1-16. </w:t>
            </w:r>
            <w:r>
              <w:rPr>
                <w:rFonts w:ascii="Calibri" w:hAnsi="Calibri" w:eastAsia="Calibri"/>
                <w:b/>
                <w:i w:val="0"/>
                <w:color w:val="1A1A1A"/>
                <w:sz w:val="16"/>
              </w:rPr>
              <w:t>(Wes &amp; Jenny noted: this corrects September 15.)</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2023-09-25 or shortly after</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contacted Natalie. His contemporaneous September 25 email documented the foreclosure circumstances and his understanding that Natalie was willing to assist Brynda financially.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Huston continued deposition 133:1-24, 134:16-24, 135:1-16; </w:t>
            </w:r>
            <w:r>
              <w:rPr>
                <w:rFonts w:ascii="Consolas" w:hAnsi="Consolas" w:eastAsia="Consolas"/>
                <w:color w:val="4D5B68"/>
                <w:sz w:val="15"/>
              </w:rPr>
              <w:t>25-09-12 EMail from Huston to Beth Donner Exhibit 15 Huston, Kevin Job# 303627.pdf</w:t>
            </w:r>
            <w:r>
              <w:rPr>
                <w:rFonts w:ascii="Calibri" w:hAnsi="Calibri" w:eastAsia="Calibri"/>
                <w:b w:val="0"/>
                <w:i w:val="0"/>
                <w:color w:val="1A1A1A"/>
                <w:sz w:val="16"/>
              </w:rPr>
              <w:t>. Huston could not recall the precise words used with Natalie.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Wilson's competing proposal was discussed.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contemporaneous Huston email describes Wilson as trying to buy for $200,000; later Wilson/Huston evidence describes approximately $140,000. Preserve the discrepancy.</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2023-10-28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first called Wes.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Plaintiff's summary-judgment brief.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2023-10-29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Wes and Brynda met and discussed the transaction.</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Plaintiff's summary-judgment brief; defendants' brief describes the three-day transaction sequence ending October 31.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2023-10-31</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signed the Purchase and Sale Agreement, lease, and power of attorney.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Signed agreement and lease; Answer paragraphs 20-21; both summary-judgment briefs.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2023-11-01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Foreclosure was authorized.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23-11-01 Foreclosure Granted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paid Bank of America $6,266.78 to cure the arrears.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Defendants' summary-judgment brief. </w:t>
            </w:r>
            <w:r>
              <w:rPr>
                <w:rFonts w:ascii="Calibri" w:hAnsi="Calibri" w:eastAsia="Calibri"/>
                <w:b/>
                <w:i w:val="0"/>
                <w:color w:val="1A1A1A"/>
                <w:sz w:val="16"/>
              </w:rPr>
              <w:t>(Wes &amp; Jenny noted: this completes the missing payment date.)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supported defense fact</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2023-11-16</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Bank of America filed notice that the foreclosure would not proceed.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The exhibit is named </w:t>
            </w:r>
            <w:r>
              <w:rPr>
                <w:rFonts w:ascii="Consolas" w:hAnsi="Consolas" w:eastAsia="Consolas"/>
                <w:color w:val="4D5B68"/>
                <w:sz w:val="15"/>
              </w:rPr>
              <w:t>23-11-15 Foreclosure Withdrawn.pdf</w:t>
            </w:r>
            <w:r>
              <w:rPr>
                <w:rFonts w:ascii="Calibri" w:hAnsi="Calibri" w:eastAsia="Calibri"/>
                <w:b w:val="0"/>
                <w:i w:val="0"/>
                <w:color w:val="1A1A1A"/>
                <w:sz w:val="16"/>
              </w:rPr>
              <w:t>, so counsel should confirm the filed-stamp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2023-11-28 / 2023-11-30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defense evidence says Brynda supplied the missing deed signature on November 28; the instrument was dated November 30. The Answer and plaintiff's brief describe execution on November 30.</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Defendants' brief and Browning affidavit; Answer paragraph 22; plaintiff's brief.</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 pending instrument review</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Unknown, before 2024-09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property was refinanced and the prior HELOC was paid.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routed compilation says refinancing preceded the September 2024 meeting. No refinancing instrument or closing statement was located in the scoped source set.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Open</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had lunch for about one hour with Natalie, her husband, and Brynda.</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Natalie deposition 54:12-24 and 59:9-24.</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2024-09-28 to 2024-09-29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During Natalie's second September visit, she used Brynda's phone to text Wes as if she were Brynda and intentionally did not disclose herself.</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Natalie deposition 77:1-23 and 83:1-10.</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executed a will with Huston while Natalie was present.</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deposition vol. I 35:9-24 and related will testimony.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2024-11-18</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civil action was initiated/filed.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procedural history. </w:t>
            </w:r>
            <w:r>
              <w:rPr>
                <w:rFonts w:ascii="Calibri" w:hAnsi="Calibri" w:eastAsia="Calibri"/>
                <w:b/>
                <w:i w:val="0"/>
                <w:color w:val="1A1A1A"/>
                <w:sz w:val="16"/>
              </w:rPr>
              <w:t>(Wes &amp; Jenny noted: this is a filing date, not the verified service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2024-11-19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court entered the initial guardian-ad-litem order without an incompetency finding identified in the reviewed record.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Motion to Vacate GAL Appointment and related order history.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2024-12-02</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Buy Your Home received the summons and complaint by USPS.</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25-01-13 BYH - Summons &amp; Complaint recd 20241202 usps.pdf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2024-12-06</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Affidavit of service regarding Buy Your Home was dated.</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25-01-13 BYH - Aff of Svc of Process Def Buy Your Home 20241206.pdf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2025-01-29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Defendants moved to vacate the GAL appointment.</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Motion to Vacate GAL Appointment.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2025-03-18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GAL appointment was vacated.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Vacatur order/history cited in the defense analysis.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2025-04-07</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Amended complaint 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Procedural history in the summary-judgment materials.</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2025-04-09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refer to an offer email bearing this date.</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original April 9 email was not located in the reviewed Outlook or scoped source set. Do not quote or characterize its terms until obtained.</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Unverified</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2025-05-21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Defense settlement response proposed discussing a buyout of Brynda's lease in exchange for a full release and dismissal without prejudice.</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SharePoint </w:t>
            </w:r>
            <w:r>
              <w:rPr>
                <w:rFonts w:ascii="Consolas" w:hAnsi="Consolas" w:eastAsia="Consolas"/>
                <w:color w:val="4D5B68"/>
                <w:sz w:val="15"/>
              </w:rPr>
              <w:t>25-05-21 Offer to settle.docx</w:t>
            </w:r>
            <w:r>
              <w:rPr>
                <w:rFonts w:ascii="Calibri" w:hAnsi="Calibri" w:eastAsia="Calibri"/>
                <w:b w:val="0"/>
                <w:i w:val="0"/>
                <w:color w:val="1A1A1A"/>
                <w:sz w:val="16"/>
              </w:rPr>
              <w:t xml:space="preserve">, responding to opposing counsel's May 16 letter. </w:t>
            </w:r>
            <w:r>
              <w:rPr>
                <w:rFonts w:ascii="Calibri" w:hAnsi="Calibri" w:eastAsia="Calibri"/>
                <w:b/>
                <w:i w:val="0"/>
                <w:color w:val="1A1A1A"/>
                <w:sz w:val="16"/>
              </w:rPr>
              <w:t>(Wes &amp; Jenny noted: this is the verified lease-buyout proposal date in the present record.)</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bl>
    <w:p>
      <w:pPr>
        <w:spacing w:after="40"/>
      </w:pPr>
    </w:p>
    <w:p>
      <w:pPr>
        <w:pStyle w:val="Heading1"/>
      </w:pPr>
      <w:r>
        <w:t>Background</w:t>
      </w:r>
    </w:p>
    <w:p>
      <w:r>
        <w:rPr>
          <w:rFonts w:ascii="Calibri" w:hAnsi="Calibri" w:eastAsia="Calibri"/>
          <w:b w:val="0"/>
          <w:i w:val="0"/>
          <w:color w:val="1A1A1A"/>
        </w:rPr>
        <w:t>The defense account is that Wes gave Brynda the outcome she said she needed: the ability to remain in the townhome because she had nowhere else to go. The arrangement provided a lifetime lease at the cost of property insurance, described as substantially below market rent.</w:t>
      </w:r>
    </w:p>
    <w:p>
      <w:r>
        <w:rPr>
          <w:rFonts w:ascii="Calibri" w:hAnsi="Calibri" w:eastAsia="Calibri"/>
          <w:b w:val="0"/>
          <w:i w:val="0"/>
          <w:color w:val="1A1A1A"/>
        </w:rPr>
        <w:t xml:space="preserve">Wes did not meet Natalie until September 2024, approximately ten months after the acquisition and leaseback. By then the prior HELOC had been paid and the property had been refinanced, with proceeds reportedly used in the business on other properties. </w:t>
      </w:r>
      <w:r>
        <w:rPr>
          <w:rFonts w:ascii="Calibri" w:hAnsi="Calibri" w:eastAsia="Calibri"/>
          <w:b/>
          <w:i w:val="0"/>
          <w:color w:val="1A1A1A"/>
        </w:rPr>
        <w:t>(Wes &amp; Jenny noted: they personally guaranteed the current mortgage.)</w:t>
      </w:r>
    </w:p>
    <w:p>
      <w:r>
        <w:rPr>
          <w:rFonts w:ascii="Calibri" w:hAnsi="Calibri" w:eastAsia="Calibri"/>
          <w:b w:val="0"/>
          <w:i w:val="0"/>
          <w:color w:val="1A1A1A"/>
        </w:rPr>
        <w:t>The defense position is strengthened by Brynda's consideration of Wilson's competing purchase proposal. She took Wilson to her own attorney, understood that he wanted to purchase the property, and did not accept his proposal while prioritizing her ability to remain in the home. This is not a contradiction in Natalie's testimony, but it supports deliberation about both sale and continued possession. The Wilson offer amount remains disputed between the contemporaneous email and later testimony.</w:t>
      </w:r>
    </w:p>
    <w:p>
      <w:pPr>
        <w:pStyle w:val="Heading1"/>
      </w:pPr>
      <w:r>
        <w:t>Claims And Litigation History</w:t>
      </w:r>
    </w:p>
    <w:p>
      <w:r>
        <w:rPr>
          <w:rFonts w:ascii="Calibri" w:hAnsi="Calibri" w:eastAsia="Calibri"/>
          <w:b w:val="0"/>
          <w:i w:val="0"/>
          <w:color w:val="1A1A1A"/>
        </w:rPr>
        <w:t>Natalie and Noreen did not attempt to renegotiate the transaction with Wes before filing suit. The lawsuit asserted claims involving the disputed guardian-ad-litem procedure, fraud, Chapter 75, and punitive damages. Defendants also litigated the GAL appointment.</w:t>
      </w:r>
    </w:p>
    <w:p>
      <w:r>
        <w:rPr>
          <w:rFonts w:ascii="Calibri" w:hAnsi="Calibri" w:eastAsia="Calibri"/>
          <w:b w:val="0"/>
          <w:i w:val="0"/>
          <w:color w:val="1A1A1A"/>
        </w:rPr>
        <w:t>The defense raised potential Rule 11 concerns because claims allegedly relied on a power of attorney viewed as irrelevant to the sale. In plain terms, the concern is that the factual or legal basis for relying on that document may have been insufficient. This is a litigation position, not a finding that plaintiff or counsel violated Rule 11 or that sanctions will be imposed.</w:t>
      </w:r>
    </w:p>
    <w:p>
      <w:r>
        <w:rPr>
          <w:rFonts w:ascii="Calibri" w:hAnsi="Calibri" w:eastAsia="Calibri"/>
          <w:b w:val="0"/>
          <w:i w:val="0"/>
          <w:color w:val="1A1A1A"/>
        </w:rPr>
        <w:t>The presently verified lease-buyout response is dated May 21, 2025. It proposed discussing a lease buyout in exchange for a full release and dismissal without prejudice and rejected plaintiff's proposal that Wes purchase property his company already owned. The April 9 source and the alleged additional $281,000 demand still need to be located before their exact terms are used.</w:t>
      </w:r>
    </w:p>
    <w:p>
      <w:r>
        <w:rPr>
          <w:rFonts w:ascii="Calibri" w:hAnsi="Calibri" w:eastAsia="Calibri"/>
          <w:b w:val="0"/>
          <w:i w:val="0"/>
          <w:color w:val="1A1A1A"/>
        </w:rPr>
        <w:t>Discovery and summary-judgment proceedings followed, including a motion to compel and depositions of Brynda, Natalie, Frances, and Huston over two sessions.</w:t>
      </w:r>
    </w:p>
    <w:p>
      <w:pPr>
        <w:pStyle w:val="Heading1"/>
      </w:pPr>
      <w:r>
        <w:t>Rescission And The Remaining Alternative Claim</w:t>
      </w:r>
    </w:p>
    <w:p>
      <w:pPr/>
      <w:r>
        <w:t>Rescission asks a court to unwind a transaction and attempt to restore the parties to their pre-transaction positions rather than simply award ordinary damages. The filed July 21, 2026 order denied Plaintiff's motion for summary judgment and granted Defendants' motion on every claim in the Amended Complaint except undue influence. Undue influence is therefore the only claim remaining for trial.</w:t>
      </w:r>
    </w:p>
    <w:p>
      <w:r>
        <w:rPr>
          <w:rFonts w:ascii="Calibri" w:hAnsi="Calibri" w:eastAsia="Calibri"/>
          <w:b w:val="0"/>
          <w:i w:val="0"/>
          <w:color w:val="1A1A1A"/>
        </w:rPr>
        <w:t>Undue influence would contend, in plain terms, that Brynda's decision was improperly controlled or overborne by another person's influence. The defense emphasizes that Wes had known Brynda for only a few days, Brynda contacted him, she consulted her own attorney about another proposal, and she had multiple options. Those points support the defense view but are not a judicial determination.</w:t>
      </w:r>
    </w:p>
    <w:p>
      <w:r>
        <w:rPr>
          <w:rFonts w:ascii="Calibri" w:hAnsi="Calibri" w:eastAsia="Calibri"/>
          <w:b w:val="0"/>
          <w:i w:val="0"/>
          <w:color w:val="1A1A1A"/>
        </w:rPr>
        <w:t>Counsel should confirm what remedy remains available after Brynda's death, who has standing, whether plaintiff seeks an additional monetary judgment sufficient to address the mortgage, and the effect on appeal.</w:t>
      </w:r>
    </w:p>
    <w:p>
      <w:pPr>
        <w:pStyle w:val="Heading1"/>
      </w:pPr>
      <w:r>
        <w:t>Entered Order And Appeal</w:t>
      </w:r>
    </w:p>
    <w:p>
      <w:pPr/>
      <w:r>
        <w:t>The July 21, 2026 filed order removes fraud, Chapter 75, and every other claim in the Amended Complaint from trial except undue influence. Counsel should confirm the scope and timing of any appeal and identify any fee, cost, or sanctions issues that remain available after the entered order.</w:t>
      </w:r>
    </w:p>
    <w:p>
      <w:pPr>
        <w:pStyle w:val="Heading1"/>
      </w:pPr>
      <w:r>
        <w:t>Three Counsel-Review Credibility Issues</w:t>
      </w:r>
    </w:p>
    <w:p>
      <w:pPr>
        <w:pStyle w:val="Heading2"/>
      </w:pPr>
      <w:r>
        <w:t>1. Foreclosure Knowledge</w:t>
      </w:r>
    </w:p>
    <w:p>
      <w:pPr/>
      <w:r>
        <w:t>Natalie testified that she first learned of the foreclosure in summer 2024. Huston contacted her on or shortly after September 25, 2023, after meeting with Brynda and Wilson about the pending foreclosure; his contemporaneous email recorded his understanding that Natalie was willing to help Brynda financially.</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Natalie's account is difficult to reconcile with Huston's contemporaneous record and testimony. The record does not conclusively prove what exact foreclosure information she received.</w:t>
      </w:r>
    </w:p>
    <w:p>
      <w:pPr>
        <w:pStyle w:val="Heading2"/>
      </w:pPr>
      <w:r>
        <w:t>2. Guardian-Ad-Litem Position</w:t>
      </w:r>
    </w:p>
    <w:p>
      <w:r>
        <w:rPr>
          <w:rFonts w:ascii="Calibri" w:hAnsi="Calibri" w:eastAsia="Calibri"/>
          <w:b w:val="0"/>
          <w:i w:val="0"/>
          <w:color w:val="1A1A1A"/>
        </w:rPr>
        <w:t>Natalie's GAL petition represented that she was disinterested. The September 30, 2024 will, however, gives the residue of Brynda's estate to Natalie outright and names Natalie as personal representative. Huston's testimony establishes that Natalie and her husband brought Brynda to his office when the will was executed. (Wes noted: Natalie also directed the will's formation and knew of her resulting interest when the GAL petition was filed; that direction and state-of-mind assertion require confirmation from the underlying communications or testimony.) The GAL appointment was later vacated after a defense challenge concerning notice, hearing, and the lack of an incompetency finding.</w:t>
      </w:r>
    </w:p>
    <w:p>
      <w:pPr>
        <w:pStyle w:val="Callout"/>
        <w:shd w:fill="EAF1F6"/>
        <w:pBdr>
          <w:left w:val="single" w:sz="18" w:space="8" w:color="2E5D7B"/>
        </w:pBdr>
      </w:pPr>
      <w:r>
        <w:rPr>
          <w:rFonts w:ascii="Calibri" w:hAnsi="Calibri" w:eastAsia="Calibri"/>
          <w:b/>
          <w:color w:val="19324D"/>
          <w:sz w:val="20"/>
        </w:rPr>
        <w:t>RECOMMENDED WORDING. The disinterested-status assertion is difficult to reconcile with the will's direct benefit to Natalie, her nomination as personal representative, and her participation in bringing Brynda to Huston's office. This creates a legitimate credibility and process issue. The record reviewed does not by itself establish that the petition statement was knowingly false, and vacatur alone is not proof of dishonesty or improper purpose.</w:t>
      </w:r>
      <w:r>
        <w:rPr>
          <w:rFonts w:ascii="Calibri" w:hAnsi="Calibri" w:eastAsia="Calibri"/>
          <w:b w:val="0"/>
          <w:i w:val="0"/>
          <w:color w:val="1A1A1A"/>
          <w:sz w:val="20"/>
        </w:rPr>
      </w:r>
    </w:p>
    <w:p>
      <w:pPr>
        <w:pStyle w:val="Heading2"/>
      </w:pPr>
      <w:r>
        <w:t>3. Text Impersonation</w:t>
      </w:r>
    </w:p>
    <w:p>
      <w:r>
        <w:rPr>
          <w:rFonts w:ascii="Calibri" w:hAnsi="Calibri" w:eastAsia="Calibri"/>
          <w:b w:val="0"/>
          <w:i w:val="0"/>
          <w:color w:val="1A1A1A"/>
        </w:rPr>
        <w:t>Natalie admitted that she possessed Brynda's phone, texted Wes in a manner that allowed him to believe the messages came from Brynda, did not disclose herself, and did so because she did not want Wes to know Brynda had left the home.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This is an admitted deceptive communication practice directly relevant to credibility. Use the exact deposition admission rather than the broader unsupported label "lied three times."</w:t>
      </w:r>
    </w:p>
    <w:p>
      <w:r>
        <w:br w:type="page"/>
      </w:r>
    </w:p>
    <w:p>
      <w:pPr>
        <w:pStyle w:val="Heading1"/>
      </w:pPr>
      <w:r>
        <w:t>Financial Presentation</w:t>
      </w:r>
    </w:p>
    <w:p>
      <w:pPr>
        <w:pStyle w:val="Heading2"/>
      </w:pPr>
      <w:r>
        <w:t>Estimated Current Sale Cash Flow</w:t>
      </w:r>
    </w:p>
    <w:p>
      <w:r>
        <w:rPr>
          <w:rFonts w:ascii="Calibri" w:hAnsi="Calibri" w:eastAsia="Calibri"/>
          <w:b w:val="0"/>
          <w:i w:val="0"/>
          <w:color w:val="1A1A1A"/>
        </w:rPr>
        <w:t xml:space="preserve">The figures below are from Jenny's July 29 notes. The current mortgage balance is therefore a </w:t>
      </w:r>
      <w:r>
        <w:rPr>
          <w:rFonts w:ascii="Calibri" w:hAnsi="Calibri" w:eastAsia="Calibri"/>
          <w:b/>
          <w:i w:val="0"/>
          <w:color w:val="1A1A1A"/>
        </w:rPr>
        <w:t>provisional figure</w:t>
      </w:r>
      <w:r>
        <w:rPr>
          <w:rFonts w:ascii="Calibri" w:hAnsi="Calibri" w:eastAsia="Calibri"/>
          <w:b w:val="0"/>
          <w:i w:val="0"/>
          <w:color w:val="1A1A1A"/>
        </w:rPr>
        <w:t xml:space="preserve">, not an independently verified record amount. The lease-buyout value remains </w:t>
      </w:r>
      <w:r>
        <w:rPr>
          <w:rFonts w:ascii="Calibri" w:hAnsi="Calibri" w:eastAsia="Calibri"/>
          <w:b/>
          <w:i w:val="0"/>
          <w:color w:val="1A1A1A"/>
        </w:rPr>
        <w:t>unestablished</w:t>
      </w:r>
      <w:r>
        <w:rPr>
          <w:rFonts w:ascii="Calibri" w:hAnsi="Calibri" w:eastAsia="Calibri"/>
          <w:b w:val="0"/>
          <w:i w:val="0"/>
          <w:color w:val="1A1A1A"/>
        </w:rPr>
        <w:t>.</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4500"/>
        <w:gridCol w:w="2430"/>
        <w:gridCol w:w="2430"/>
      </w:tblGrid>
      <w:tr>
        <w:trPr>
          <w:tblHeader w:val="true"/>
          <w:cantSplit/>
        </w:trPr>
        <w:tc>
          <w:tcPr>
            <w:tcW w:type="dxa" w:w="45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9"/>
              </w:rPr>
              <w:t>Item</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Low-rehab scenario</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High-rehab scenario</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Fully remodeled sale price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realtor commission</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mortgage payoff as of 2026-07-03</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rehab</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($40,000)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closing costs</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i w:val="0"/>
                <w:color w:val="1A1A1A"/>
                <w:sz w:val="19"/>
              </w:rPr>
              <w:t>Estimated cash remaining at sale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i w:val="0"/>
                <w:color w:val="1A1A1A"/>
                <w:sz w:val="19"/>
              </w:rPr>
              <w:t>$17,308</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i w:val="0"/>
                <w:color w:val="1A1A1A"/>
                <w:sz w:val="19"/>
              </w:rPr>
              <w:t>$7,308</w:t>
            </w:r>
          </w:p>
        </w:tc>
      </w:tr>
    </w:tbl>
    <w:p>
      <w:pPr>
        <w:spacing w:after="40"/>
      </w:pPr>
    </w:p>
    <w:p>
      <w:r>
        <w:rPr>
          <w:rFonts w:ascii="Calibri" w:hAnsi="Calibri" w:eastAsia="Calibri"/>
          <w:b w:val="0"/>
          <w:i w:val="0"/>
          <w:color w:val="1A1A1A"/>
        </w:rPr>
        <w:t>These figures alone do not produce a negative sale result. They estimate cash remaining after the current lien and sale/rehab costs. Historical acquisition costs and litigation losses must be shown separately to explain the overall negative economic result.</w:t>
      </w:r>
    </w:p>
    <w:p>
      <w:pPr>
        <w:pStyle w:val="Heading2"/>
      </w:pPr>
      <w:r>
        <w:t>Historical HELOC And Cure Costs</w:t>
      </w:r>
    </w:p>
    <w:p>
      <w:r>
        <w:rPr>
          <w:rFonts w:ascii="Calibri" w:hAnsi="Calibri" w:eastAsia="Calibri"/>
          <w:b w:val="0"/>
          <w:i w:val="0"/>
          <w:color w:val="1A1A1A"/>
        </w:rPr>
        <w:t>Jenny's notes list a $28,267 HELOC payoff and a $6,267 reinstatement/cure. The record must establish whether the cure is included in the payoff.</w:t>
      </w:r>
    </w:p>
    <w:p>
      <w:pPr>
        <w:pStyle w:val="ListBullet"/>
      </w:pPr>
      <w:r>
        <w:rPr>
          <w:rFonts w:ascii="Calibri" w:hAnsi="Calibri" w:eastAsia="Calibri"/>
          <w:b w:val="0"/>
          <w:i w:val="0"/>
          <w:color w:val="1A1A1A"/>
          <w:sz w:val="22"/>
        </w:rPr>
        <w:t xml:space="preserve">If the $6,267 is included in $28,267, subtracting the historical amount from estimated sale cash produces approximately </w:t>
      </w:r>
      <w:r>
        <w:rPr>
          <w:rFonts w:ascii="Calibri" w:hAnsi="Calibri" w:eastAsia="Calibri"/>
          <w:b/>
          <w:i w:val="0"/>
          <w:color w:val="1A1A1A"/>
          <w:sz w:val="22"/>
        </w:rPr>
        <w:t>negative $10,959 to negative $20,959</w:t>
      </w:r>
      <w:r>
        <w:rPr>
          <w:rFonts w:ascii="Calibri" w:hAnsi="Calibri" w:eastAsia="Calibri"/>
          <w:b w:val="0"/>
          <w:i w:val="0"/>
          <w:color w:val="1A1A1A"/>
          <w:sz w:val="22"/>
        </w:rPr>
        <w:t>.</w:t>
      </w:r>
    </w:p>
    <w:p>
      <w:pPr>
        <w:pStyle w:val="ListBullet"/>
      </w:pPr>
      <w:r>
        <w:rPr>
          <w:rFonts w:ascii="Calibri" w:hAnsi="Calibri" w:eastAsia="Calibri"/>
          <w:b w:val="0"/>
          <w:i w:val="0"/>
          <w:color w:val="1A1A1A"/>
          <w:sz w:val="22"/>
        </w:rPr>
        <w:t xml:space="preserve">If the $6,267 is additional, the result is approximately </w:t>
      </w:r>
      <w:r>
        <w:rPr>
          <w:rFonts w:ascii="Calibri" w:hAnsi="Calibri" w:eastAsia="Calibri"/>
          <w:b/>
          <w:i w:val="0"/>
          <w:color w:val="1A1A1A"/>
          <w:sz w:val="22"/>
        </w:rPr>
        <w:t>negative $17,226 to negative $27,226</w:t>
      </w:r>
      <w:r>
        <w:rPr>
          <w:rFonts w:ascii="Calibri" w:hAnsi="Calibri" w:eastAsia="Calibri"/>
          <w:b w:val="0"/>
          <w:i w:val="0"/>
          <w:color w:val="1A1A1A"/>
          <w:sz w:val="22"/>
        </w:rPr>
        <w:t>.</w:t>
      </w:r>
    </w:p>
    <w:p>
      <w:r>
        <w:rPr>
          <w:rFonts w:ascii="Calibri" w:hAnsi="Calibri" w:eastAsia="Calibri"/>
          <w:b w:val="0"/>
          <w:i w:val="0"/>
          <w:color w:val="1A1A1A"/>
        </w:rPr>
        <w:t>The litigation materials use slightly different figures: $22,257.08 total purchase consideration, including $100 earnest money, plus a $6,266.78 cure payment, or $28,523.86 if additive. Counsel should reconcile the purchase agreement, payoff statement, cure receipt, and Jenny's figures.</w:t>
      </w:r>
    </w:p>
    <w:p>
      <w:pPr>
        <w:pStyle w:val="Heading2"/>
      </w:pPr>
      <w:r>
        <w:t>Avoiding Double Counting</w:t>
      </w:r>
    </w:p>
    <w:p>
      <w:r>
        <w:rPr>
          <w:rFonts w:ascii="Calibri" w:hAnsi="Calibri" w:eastAsia="Calibri"/>
          <w:b w:val="0"/>
          <w:i w:val="0"/>
          <w:color w:val="1A1A1A"/>
        </w:rPr>
        <w:t>The current mortgage payoff should be deducted from sale proceeds because it is a lien. If mortgage proceeds funded legal defense, the same legal spending should not also be deducted from that sale table without a tracing adjustment.</w:t>
      </w:r>
    </w:p>
    <w:p>
      <w:r>
        <w:rPr>
          <w:rFonts w:ascii="Calibri" w:hAnsi="Calibri" w:eastAsia="Calibri"/>
          <w:b w:val="0"/>
          <w:i w:val="0"/>
          <w:color w:val="1A1A1A"/>
        </w:rPr>
        <w:t>For mediation, use three ledgers:</w:t>
      </w:r>
    </w:p>
    <w:p>
      <w:pPr>
        <w:pStyle w:val="ListNumber"/>
        <w:numPr>
          <w:ilvl w:val="0"/>
          <w:numId w:val="10"/>
        </w:numPr>
      </w:pPr>
      <w:r>
        <w:rPr>
          <w:rFonts w:ascii="Calibri" w:hAnsi="Calibri" w:eastAsia="Calibri"/>
          <w:b/>
          <w:i w:val="0"/>
          <w:color w:val="1A1A1A"/>
          <w:sz w:val="22"/>
        </w:rPr>
        <w:t>Property cash flow:</w:t>
      </w:r>
      <w:r>
        <w:rPr>
          <w:rFonts w:ascii="Calibri" w:hAnsi="Calibri" w:eastAsia="Calibri"/>
          <w:b w:val="0"/>
          <w:i w:val="0"/>
          <w:color w:val="1A1A1A"/>
          <w:sz w:val="22"/>
        </w:rPr>
        <w:t xml:space="preserve"> sale price, lien payoff, commission, rehab, and closing costs.</w:t>
      </w:r>
    </w:p>
    <w:p>
      <w:pPr>
        <w:pStyle w:val="ListNumber"/>
        <w:numPr>
          <w:ilvl w:val="0"/>
          <w:numId w:val="10"/>
        </w:numPr>
      </w:pPr>
      <w:r>
        <w:rPr>
          <w:rFonts w:ascii="Calibri" w:hAnsi="Calibri" w:eastAsia="Calibri"/>
          <w:b/>
          <w:i w:val="0"/>
          <w:color w:val="1A1A1A"/>
          <w:sz w:val="22"/>
        </w:rPr>
        <w:t>Historical property investment:</w:t>
      </w:r>
      <w:r>
        <w:rPr>
          <w:rFonts w:ascii="Calibri" w:hAnsi="Calibri" w:eastAsia="Calibri"/>
          <w:b w:val="0"/>
          <w:i w:val="0"/>
          <w:color w:val="1A1A1A"/>
          <w:sz w:val="22"/>
        </w:rPr>
        <w:t xml:space="preserve"> acquisition consideration, HELOC payoff/cure, taxes, insurance, carrying costs, and improvements.</w:t>
      </w:r>
    </w:p>
    <w:p>
      <w:pPr>
        <w:pStyle w:val="ListNumber"/>
        <w:numPr>
          <w:ilvl w:val="0"/>
          <w:numId w:val="10"/>
        </w:numPr>
      </w:pPr>
      <w:r>
        <w:rPr>
          <w:rFonts w:ascii="Calibri" w:hAnsi="Calibri" w:eastAsia="Calibri"/>
          <w:b/>
          <w:i w:val="0"/>
          <w:color w:val="1A1A1A"/>
          <w:sz w:val="22"/>
        </w:rPr>
        <w:t>Litigation expense:</w:t>
      </w:r>
      <w:r>
        <w:rPr>
          <w:rFonts w:ascii="Calibri" w:hAnsi="Calibri" w:eastAsia="Calibri"/>
          <w:b w:val="0"/>
          <w:i w:val="0"/>
          <w:color w:val="1A1A1A"/>
          <w:sz w:val="22"/>
        </w:rPr>
        <w:t xml:space="preserve"> legal fees, experts, lost time, and documented losses, adjusted to avoid counting mortgage-funded expenditures twice.</w:t>
      </w:r>
    </w:p>
    <w:p>
      <w:pPr>
        <w:pStyle w:val="Heading1"/>
      </w:pPr>
      <w:r>
        <w:t>Equity, Creditor Priority, Bankruptcy, And Collectability</w:t>
      </w:r>
    </w:p>
    <w:p>
      <w:r>
        <w:rPr>
          <w:rFonts w:ascii="Calibri" w:hAnsi="Calibri" w:eastAsia="Calibri"/>
          <w:b w:val="0"/>
          <w:i w:val="0"/>
          <w:color w:val="1A1A1A"/>
        </w:rPr>
        <w:t>The defense position is that legal expense has consumed the property's economic benefit and no settlement equity will remain after rehabilitation and sale. The current figures show only $7,308 to $17,308 of estimated sale cash before historical costs; they support that position only after the historical amounts are reconciled.</w:t>
      </w:r>
    </w:p>
    <w:p>
      <w:r>
        <w:rPr>
          <w:rFonts w:ascii="Calibri" w:hAnsi="Calibri" w:eastAsia="Calibri"/>
          <w:b w:val="0"/>
          <w:i w:val="0"/>
          <w:color w:val="1A1A1A"/>
        </w:rPr>
        <w:t>Collectability and bankruptcy are potential strategy considerations, not predetermined outcomes. A secured creditor generally looks first to its collateral, while an unsecured claimant may recover only from value remaining after valid secured claims and applicable costs.</w:t>
      </w:r>
    </w:p>
    <w:p>
      <w:pPr>
        <w:pStyle w:val="Callout"/>
        <w:shd w:fill="EAF1F6"/>
        <w:pBdr>
          <w:left w:val="single" w:sz="18" w:space="8" w:color="2E5D7B"/>
        </w:pBdr>
      </w:pPr>
      <w:r>
        <w:rPr>
          <w:rFonts w:ascii="Calibri" w:hAnsi="Calibri" w:eastAsia="Calibri"/>
          <w:b/>
          <w:color w:val="19324D"/>
          <w:sz w:val="20"/>
        </w:rPr>
        <w:t xml:space="preserve">KEY CORRECTION. </w:t>
      </w:r>
      <w:r>
        <w:rPr>
          <w:rFonts w:ascii="Calibri" w:hAnsi="Calibri" w:eastAsia="Calibri"/>
          <w:b/>
          <w:i w:val="0"/>
          <w:color w:val="1A1A1A"/>
          <w:sz w:val="20"/>
        </w:rPr>
        <w:t>(Wes &amp; Jenny noted: the Poyner documents concern 320 Rose, not 115 Rosebrooks.)</w:t>
      </w:r>
      <w:r>
        <w:rPr>
          <w:rFonts w:ascii="Calibri" w:hAnsi="Calibri" w:eastAsia="Calibri"/>
          <w:b w:val="0"/>
          <w:i w:val="0"/>
          <w:color w:val="1A1A1A"/>
          <w:sz w:val="20"/>
        </w:rPr>
        <w:t xml:space="preserve"> The source inventory contains </w:t>
      </w:r>
      <w:r>
        <w:rPr>
          <w:rFonts w:ascii="Consolas" w:hAnsi="Consolas" w:eastAsia="Consolas"/>
          <w:color w:val="4D5B68"/>
          <w:sz w:val="19"/>
        </w:rPr>
        <w:t>25-09-17 320 Rose - Deed of Trust (Poyner) Draft.docx</w:t>
      </w:r>
      <w:r>
        <w:rPr>
          <w:rFonts w:ascii="Calibri" w:hAnsi="Calibri" w:eastAsia="Calibri"/>
          <w:b w:val="0"/>
          <w:i w:val="0"/>
          <w:color w:val="1A1A1A"/>
          <w:sz w:val="20"/>
        </w:rPr>
        <w:t xml:space="preserve"> and the corresponding promissory note. Poyner should not be presented as a secured creditor against Rosebrooks unless a recorded instrument or title review establishes that fact.</w:t>
      </w:r>
    </w:p>
    <w:p>
      <w:pPr>
        <w:pStyle w:val="Heading1"/>
      </w:pPr>
      <w:r>
        <w:t>Proposed Mediation Sequence</w:t>
      </w:r>
    </w:p>
    <w:p>
      <w:pPr>
        <w:pStyle w:val="ListNumber"/>
        <w:numPr>
          <w:ilvl w:val="0"/>
          <w:numId w:val="11"/>
        </w:numPr>
      </w:pPr>
      <w:r>
        <w:rPr>
          <w:rFonts w:ascii="Calibri" w:hAnsi="Calibri" w:eastAsia="Calibri"/>
          <w:b w:val="0"/>
          <w:i w:val="0"/>
          <w:color w:val="1A1A1A"/>
          <w:sz w:val="22"/>
        </w:rPr>
        <w:t>Seek dismissal with prejudice, permanently ending the claims.</w:t>
      </w:r>
    </w:p>
    <w:p>
      <w:pPr>
        <w:pStyle w:val="ListNumber"/>
        <w:numPr>
          <w:ilvl w:val="0"/>
          <w:numId w:val="11"/>
        </w:numPr>
      </w:pPr>
      <w:r>
        <w:rPr>
          <w:rFonts w:ascii="Calibri" w:hAnsi="Calibri" w:eastAsia="Calibri"/>
          <w:b w:val="0"/>
          <w:i w:val="0"/>
          <w:color w:val="1A1A1A"/>
          <w:sz w:val="22"/>
        </w:rPr>
        <w:t>If dismissal is not achieved, address appeal risk and the cost of continued litigation.</w:t>
      </w:r>
    </w:p>
    <w:p>
      <w:pPr>
        <w:pStyle w:val="ListNumber"/>
        <w:numPr>
          <w:ilvl w:val="0"/>
          <w:numId w:val="11"/>
        </w:numPr>
      </w:pPr>
      <w:r>
        <w:rPr>
          <w:rFonts w:ascii="Calibri" w:hAnsi="Calibri" w:eastAsia="Calibri"/>
          <w:b w:val="0"/>
          <w:i w:val="0"/>
          <w:color w:val="1A1A1A"/>
          <w:sz w:val="22"/>
        </w:rPr>
        <w:t>Present the documentary chronology: foreclosure notice, independent-attorney consultation, competing proposal, Brynda's direct contact with Wes, signed documents, cure payment, and continued occupancy.</w:t>
      </w:r>
    </w:p>
    <w:p>
      <w:pPr>
        <w:pStyle w:val="ListNumber"/>
        <w:numPr>
          <w:ilvl w:val="0"/>
          <w:numId w:val="11"/>
        </w:numPr>
      </w:pPr>
      <w:r>
        <w:rPr>
          <w:rFonts w:ascii="Calibri" w:hAnsi="Calibri" w:eastAsia="Calibri"/>
          <w:b w:val="0"/>
          <w:i w:val="0"/>
          <w:color w:val="1A1A1A"/>
          <w:sz w:val="22"/>
        </w:rPr>
        <w:t>Use the foreclosure-knowledge inconsistency, GAL procedure, and admitted text impersonation precisely, with their limitations.</w:t>
      </w:r>
    </w:p>
    <w:p>
      <w:pPr>
        <w:pStyle w:val="ListNumber"/>
        <w:numPr>
          <w:ilvl w:val="0"/>
          <w:numId w:val="11"/>
        </w:numPr>
      </w:pPr>
      <w:r>
        <w:rPr>
          <w:rFonts w:ascii="Calibri" w:hAnsi="Calibri" w:eastAsia="Calibri"/>
          <w:b w:val="0"/>
          <w:i w:val="0"/>
          <w:color w:val="1A1A1A"/>
          <w:sz w:val="22"/>
        </w:rPr>
        <w:t>Present reconciled mortgage, cure, rehab, carrying-cost, and legal-expense records. Do not use "negative profit" until the HELOC figures are reconciled.</w:t>
      </w:r>
    </w:p>
    <w:p>
      <w:pPr>
        <w:pStyle w:val="ListNumber"/>
        <w:numPr>
          <w:ilvl w:val="0"/>
          <w:numId w:val="11"/>
        </w:numPr>
      </w:pPr>
      <w:r>
        <w:rPr>
          <w:rFonts w:ascii="Calibri" w:hAnsi="Calibri" w:eastAsia="Calibri"/>
          <w:b w:val="0"/>
          <w:i w:val="0"/>
          <w:color w:val="1A1A1A"/>
          <w:sz w:val="22"/>
        </w:rPr>
        <w:t>Preserve all rights to seek fees, sanctions, costs, or other relief that counsel determines the final record supports. Do not make a personal threat.</w:t>
      </w:r>
    </w:p>
    <w:p>
      <w:pPr>
        <w:pStyle w:val="ListNumber"/>
        <w:numPr>
          <w:ilvl w:val="0"/>
          <w:numId w:val="11"/>
        </w:numPr>
      </w:pPr>
      <w:r>
        <w:rPr>
          <w:rFonts w:ascii="Calibri" w:hAnsi="Calibri" w:eastAsia="Calibri"/>
          <w:b w:val="0"/>
          <w:i w:val="0"/>
          <w:color w:val="1A1A1A"/>
          <w:sz w:val="22"/>
        </w:rPr>
        <w:t>Explain that a pre-mediation agreement could reach the intended conclusion with less time and expense. Terms should address dismissal/release, payment or no further payment, confidentiality, possession and keys, personal property, and fees/costs.</w:t>
      </w:r>
    </w:p>
    <w:p>
      <w:pPr>
        <w:pStyle w:val="ListNumber"/>
        <w:numPr>
          <w:ilvl w:val="0"/>
          <w:numId w:val="11"/>
        </w:numPr>
      </w:pPr>
      <w:r>
        <w:rPr>
          <w:rFonts w:ascii="Calibri" w:hAnsi="Calibri" w:eastAsia="Calibri"/>
          <w:b w:val="0"/>
          <w:i w:val="0"/>
          <w:color w:val="1A1A1A"/>
          <w:sz w:val="22"/>
        </w:rPr>
        <w:t>Value any lease-buyout alternative separately. The May 21, 2025 response establishes a proposal to discuss a buyout, not its monetary value.</w:t>
      </w:r>
    </w:p>
    <w:p>
      <w:pPr>
        <w:pStyle w:val="Heading1"/>
      </w:pPr>
      <w:r>
        <w:t>Attorney Questions</w:t>
      </w:r>
    </w:p>
    <w:p>
      <w:pPr>
        <w:pStyle w:val="ListNumber"/>
        <w:numPr>
          <w:ilvl w:val="0"/>
          <w:numId w:val="12"/>
        </w:numPr>
      </w:pPr>
      <w:r>
        <w:rPr>
          <w:rFonts w:ascii="Calibri" w:hAnsi="Calibri" w:eastAsia="Calibri"/>
          <w:b w:val="0"/>
          <w:i w:val="0"/>
          <w:color w:val="1A1A1A"/>
          <w:sz w:val="22"/>
        </w:rPr>
        <w:t>What is the exact scope and remedy of the surviving claim under the entered order?</w:t>
      </w:r>
    </w:p>
    <w:p>
      <w:pPr>
        <w:pStyle w:val="ListNumber"/>
        <w:numPr>
          <w:ilvl w:val="0"/>
          <w:numId w:val="12"/>
        </w:numPr>
      </w:pPr>
      <w:r>
        <w:rPr>
          <w:rFonts w:ascii="Calibri" w:hAnsi="Calibri" w:eastAsia="Calibri"/>
          <w:b w:val="0"/>
          <w:i w:val="0"/>
          <w:color w:val="1A1A1A"/>
          <w:sz w:val="22"/>
        </w:rPr>
        <w:t>Is rescission or return of title still available after Brynda's death, and who has standing?</w:t>
      </w:r>
    </w:p>
    <w:p>
      <w:pPr>
        <w:pStyle w:val="ListNumber"/>
        <w:numPr>
          <w:ilvl w:val="0"/>
          <w:numId w:val="12"/>
        </w:numPr>
      </w:pPr>
      <w:r>
        <w:rPr>
          <w:rFonts w:ascii="Calibri" w:hAnsi="Calibri" w:eastAsia="Calibri"/>
          <w:b w:val="0"/>
          <w:i w:val="0"/>
          <w:color w:val="1A1A1A"/>
          <w:sz w:val="22"/>
        </w:rPr>
        <w:t>What evidence and jury instruction will control undue influence?</w:t>
      </w:r>
    </w:p>
    <w:p>
      <w:pPr>
        <w:pStyle w:val="ListNumber"/>
        <w:numPr>
          <w:ilvl w:val="0"/>
          <w:numId w:val="12"/>
        </w:numPr>
      </w:pPr>
      <w:r>
        <w:rPr>
          <w:rFonts w:ascii="Calibri" w:hAnsi="Calibri" w:eastAsia="Calibri"/>
          <w:b w:val="0"/>
          <w:i w:val="0"/>
          <w:color w:val="1A1A1A"/>
          <w:sz w:val="22"/>
        </w:rPr>
        <w:t>How should the September 25 Huston contact be presented without overstating what Natalie was told?</w:t>
      </w:r>
    </w:p>
    <w:p>
      <w:pPr>
        <w:pStyle w:val="ListNumber"/>
        <w:numPr>
          <w:ilvl w:val="0"/>
          <w:numId w:val="12"/>
        </w:numPr>
      </w:pPr>
      <w:r>
        <w:rPr>
          <w:rFonts w:ascii="Calibri" w:hAnsi="Calibri" w:eastAsia="Calibri"/>
          <w:b w:val="0"/>
          <w:i w:val="0"/>
          <w:color w:val="1A1A1A"/>
          <w:sz w:val="22"/>
        </w:rPr>
        <w:t>Which fees, sanctions, or claims can legally be preserved, and at what procedural stage?</w:t>
      </w:r>
    </w:p>
    <w:p>
      <w:pPr>
        <w:pStyle w:val="ListNumber"/>
        <w:numPr>
          <w:ilvl w:val="0"/>
          <w:numId w:val="12"/>
        </w:numPr>
      </w:pPr>
      <w:r>
        <w:rPr>
          <w:rFonts w:ascii="Calibri" w:hAnsi="Calibri" w:eastAsia="Calibri"/>
          <w:b w:val="0"/>
          <w:i w:val="0"/>
          <w:color w:val="1A1A1A"/>
          <w:sz w:val="22"/>
        </w:rPr>
        <w:t>What documents are needed to prove damages without double counting mortgage-funded legal expenses?</w:t>
      </w:r>
    </w:p>
    <w:p>
      <w:pPr>
        <w:pStyle w:val="ListNumber"/>
        <w:numPr>
          <w:ilvl w:val="0"/>
          <w:numId w:val="12"/>
        </w:numPr>
      </w:pPr>
      <w:r>
        <w:rPr>
          <w:rFonts w:ascii="Calibri" w:hAnsi="Calibri" w:eastAsia="Calibri"/>
          <w:b w:val="0"/>
          <w:i w:val="0"/>
          <w:color w:val="1A1A1A"/>
          <w:sz w:val="22"/>
        </w:rPr>
        <w:t>What is the defensible present value of the lease?</w:t>
      </w:r>
    </w:p>
    <w:p>
      <w:pPr>
        <w:pStyle w:val="ListNumber"/>
        <w:numPr>
          <w:ilvl w:val="0"/>
          <w:numId w:val="12"/>
        </w:numPr>
      </w:pPr>
      <w:r>
        <w:rPr>
          <w:rFonts w:ascii="Calibri" w:hAnsi="Calibri" w:eastAsia="Calibri"/>
          <w:b w:val="0"/>
          <w:i w:val="0"/>
          <w:color w:val="1A1A1A"/>
          <w:sz w:val="22"/>
        </w:rPr>
        <w:t>What settlement terms are needed for keys, possession, remaining property, release, dismissal, confidentiality, and no further payment?</w:t>
      </w:r>
    </w:p>
    <w:p>
      <w:pPr>
        <w:pStyle w:val="ListNumber"/>
        <w:numPr>
          <w:ilvl w:val="0"/>
          <w:numId w:val="12"/>
        </w:numPr>
      </w:pPr>
      <w:r>
        <w:rPr>
          <w:rFonts w:ascii="Calibri" w:hAnsi="Calibri" w:eastAsia="Calibri"/>
          <w:b w:val="0"/>
          <w:i w:val="0"/>
          <w:color w:val="1A1A1A"/>
          <w:sz w:val="22"/>
        </w:rPr>
        <w:t>What would trial likely cost from mediation through verdict, including experts and post-trial motions?</w:t>
      </w:r>
    </w:p>
    <w:p>
      <w:pPr>
        <w:pStyle w:val="ListNumber"/>
        <w:numPr>
          <w:ilvl w:val="0"/>
          <w:numId w:val="12"/>
        </w:numPr>
      </w:pPr>
      <w:r>
        <w:rPr>
          <w:rFonts w:ascii="Calibri" w:hAnsi="Calibri" w:eastAsia="Calibri"/>
          <w:b w:val="0"/>
          <w:i w:val="0"/>
          <w:color w:val="1A1A1A"/>
          <w:sz w:val="22"/>
        </w:rPr>
        <w:t>Does the May 21, 2025 lease-buyout response remain usable, and where is the April 9 email?</w:t>
      </w:r>
    </w:p>
    <w:p>
      <w:pPr>
        <w:pStyle w:val="Heading1"/>
      </w:pPr>
      <w:r>
        <w:t>Open Verification Items</w:t>
      </w:r>
    </w:p>
    <w:p>
      <w:pPr>
        <w:pStyle w:val="ListBullet"/>
      </w:pPr>
      <w:r>
        <w:rPr>
          <w:rFonts w:ascii="Calibri" w:hAnsi="Calibri" w:eastAsia="Calibri"/>
          <w:b w:val="0"/>
          <w:i w:val="0"/>
          <w:color w:val="1A1A1A"/>
          <w:sz w:val="22"/>
        </w:rPr>
        <w:t>Refinance note, deed of trust, closing disclosure, and exact refinance date.</w:t>
      </w:r>
    </w:p>
    <w:p>
      <w:pPr>
        <w:pStyle w:val="ListBullet"/>
      </w:pPr>
      <w:r>
        <w:rPr>
          <w:rFonts w:ascii="Calibri" w:hAnsi="Calibri" w:eastAsia="Calibri"/>
          <w:b w:val="0"/>
          <w:i w:val="0"/>
          <w:color w:val="1A1A1A"/>
          <w:sz w:val="22"/>
        </w:rPr>
        <w:t>Current mortgage statement confirming the $178,692 July 3, 2026 figure.</w:t>
      </w:r>
    </w:p>
    <w:p>
      <w:pPr>
        <w:pStyle w:val="ListBullet"/>
      </w:pPr>
      <w:r>
        <w:rPr>
          <w:rFonts w:ascii="Calibri" w:hAnsi="Calibri" w:eastAsia="Calibri"/>
          <w:b w:val="0"/>
          <w:i w:val="0"/>
          <w:color w:val="1A1A1A"/>
          <w:sz w:val="22"/>
        </w:rPr>
        <w:t>HELOC payoff and cure records resolving whether $6,267 is included in $28,267.</w:t>
      </w:r>
    </w:p>
    <w:p>
      <w:pPr>
        <w:pStyle w:val="ListBullet"/>
      </w:pPr>
      <w:r>
        <w:rPr>
          <w:rFonts w:ascii="Calibri" w:hAnsi="Calibri" w:eastAsia="Calibri"/>
          <w:b w:val="0"/>
          <w:i w:val="0"/>
          <w:color w:val="1A1A1A"/>
          <w:sz w:val="22"/>
        </w:rPr>
        <w:t>Support for the $250,000 sale price, $40,000-$50,000 rehab range, commission, and closing costs.</w:t>
      </w:r>
    </w:p>
    <w:p>
      <w:pPr>
        <w:pStyle w:val="ListBullet"/>
      </w:pPr>
      <w:r>
        <w:rPr>
          <w:rFonts w:ascii="Calibri" w:hAnsi="Calibri" w:eastAsia="Calibri"/>
          <w:b w:val="0"/>
          <w:i w:val="0"/>
          <w:color w:val="1A1A1A"/>
          <w:sz w:val="22"/>
        </w:rPr>
        <w:t>April 9, 2025 offer email and any attachment.</w:t>
      </w:r>
    </w:p>
    <w:p>
      <w:pPr>
        <w:pStyle w:val="ListBullet"/>
      </w:pPr>
      <w:r>
        <w:rPr>
          <w:rFonts w:ascii="Calibri" w:hAnsi="Calibri" w:eastAsia="Calibri"/>
          <w:b w:val="0"/>
          <w:i w:val="0"/>
          <w:color w:val="1A1A1A"/>
          <w:sz w:val="22"/>
        </w:rPr>
        <w:t>Operative lease and professional lease-buyout valuation.</w:t>
      </w:r>
    </w:p>
    <w:p>
      <w:pPr>
        <w:pStyle w:val="ListBullet"/>
      </w:pPr>
      <w:r>
        <w:rPr>
          <w:rFonts w:ascii="Calibri" w:hAnsi="Calibri" w:eastAsia="Calibri"/>
          <w:b w:val="0"/>
          <w:i w:val="0"/>
          <w:color w:val="1A1A1A"/>
          <w:sz w:val="22"/>
        </w:rPr>
        <w:t>Deed execution, notarization, and recording page resolving November 28 versus November 30.</w:t>
      </w:r>
    </w:p>
    <w:p>
      <w:pPr>
        <w:pStyle w:val="ListBullet"/>
      </w:pPr>
      <w:r>
        <w:rPr>
          <w:rFonts w:ascii="Calibri" w:hAnsi="Calibri" w:eastAsia="Calibri"/>
          <w:b w:val="0"/>
          <w:i w:val="0"/>
          <w:color w:val="1A1A1A"/>
          <w:sz w:val="22"/>
        </w:rPr>
        <w:t>Title search confirming all Rosebrooks liens and separating the Poyner/Rose documents.</w:t>
      </w:r>
    </w:p>
    <w:p>
      <w:pPr>
        <w:pStyle w:val="ListBullet"/>
      </w:pPr>
      <w:r>
        <w:t>Journal pages supporting the broad 2023 knowledge, sale, rent, and landlord entries described by Wes.</w:t>
      </w:r>
    </w:p>
    <w:p>
      <w:pPr>
        <w:pStyle w:val="Heading1"/>
      </w:pPr>
      <w:r>
        <w:t>Principal Sources</w:t>
      </w:r>
    </w:p>
    <w:p>
      <w:pPr>
        <w:pStyle w:val="ListBullet"/>
        <w:spacing w:after="60" w:line="240" w:lineRule="auto"/>
      </w:pPr>
      <w:r>
        <w:rPr>
          <w:rFonts w:ascii="Consolas" w:hAnsi="Consolas" w:eastAsia="Consolas"/>
          <w:color w:val="4D5B68"/>
          <w:sz w:val="17"/>
        </w:rPr>
        <w:t>sources/email/2026-07-29-122119-brynda-suit-timeline-financials.md</w:t>
      </w:r>
    </w:p>
    <w:p>
      <w:pPr>
        <w:pStyle w:val="ListBullet"/>
        <w:spacing w:after="60" w:line="240" w:lineRule="auto"/>
      </w:pPr>
      <w:r>
        <w:rPr>
          <w:rFonts w:ascii="Consolas" w:hAnsi="Consolas" w:eastAsia="Consolas"/>
          <w:color w:val="4D5B68"/>
          <w:sz w:val="17"/>
        </w:rPr>
        <w:t>sources/email/2026-07-29-123649-brynda-suit-mediation-compilation-update.md</w:t>
      </w:r>
    </w:p>
    <w:p>
      <w:pPr>
        <w:pStyle w:val="ListBullet"/>
        <w:spacing w:after="60" w:line="240" w:lineRule="auto"/>
      </w:pPr>
      <w:r>
        <w:rPr>
          <w:rFonts w:ascii="Consolas" w:hAnsi="Consolas" w:eastAsia="Consolas"/>
          <w:color w:val="4D5B68"/>
          <w:sz w:val="17"/>
        </w:rPr>
        <w:t>outputs/mediation-evidence-and-remedies-analysis-2026-07-27.md</w:t>
      </w:r>
    </w:p>
    <w:p>
      <w:pPr>
        <w:pStyle w:val="ListBullet"/>
        <w:spacing w:after="60" w:line="240" w:lineRule="auto"/>
      </w:pPr>
      <w:r>
        <w:rPr>
          <w:rFonts w:ascii="Consolas" w:hAnsi="Consolas" w:eastAsia="Consolas"/>
          <w:color w:val="4D5B68"/>
          <w:sz w:val="17"/>
        </w:rPr>
        <w:t>26-02-10 - Huston Depo Transcript COND_VOL. II.pdf</w:t>
      </w:r>
    </w:p>
    <w:p>
      <w:pPr>
        <w:pStyle w:val="ListBullet"/>
        <w:spacing w:after="60" w:line="240" w:lineRule="auto"/>
      </w:pPr>
      <w:r>
        <w:rPr>
          <w:rFonts w:ascii="Consolas" w:hAnsi="Consolas" w:eastAsia="Consolas"/>
          <w:color w:val="4D5B68"/>
          <w:sz w:val="17"/>
        </w:rPr>
        <w:t>25-09-12 EMail from Huston to Beth Donner Exhibit 15 Huston, Kevin Job# 303627.pdf</w:t>
      </w:r>
    </w:p>
    <w:p>
      <w:pPr>
        <w:pStyle w:val="ListBullet"/>
        <w:spacing w:after="60" w:line="240" w:lineRule="auto"/>
      </w:pPr>
      <w:r>
        <w:rPr>
          <w:rFonts w:ascii="Consolas" w:hAnsi="Consolas" w:eastAsia="Consolas"/>
          <w:color w:val="4D5B68"/>
          <w:sz w:val="17"/>
        </w:rPr>
        <w:t>25-06-10 DOHERTY, NATALIE - deposition.pdf</w:t>
      </w:r>
    </w:p>
    <w:p>
      <w:pPr>
        <w:pStyle w:val="ListBullet"/>
        <w:spacing w:after="60" w:line="240" w:lineRule="auto"/>
      </w:pPr>
      <w:r>
        <w:rPr>
          <w:rFonts w:ascii="Calibri" w:hAnsi="Calibri" w:eastAsia="Calibri"/>
          <w:b w:val="0"/>
          <w:i w:val="0"/>
          <w:color w:val="4D5B68"/>
          <w:sz w:val="18"/>
        </w:rPr>
        <w:t>Plaintiff's and defendants' summary-judgment briefs</w:t>
      </w:r>
    </w:p>
    <w:p>
      <w:pPr>
        <w:pStyle w:val="ListBullet"/>
        <w:spacing w:after="60" w:line="240" w:lineRule="auto"/>
      </w:pPr>
      <w:r>
        <w:rPr>
          <w:rFonts w:ascii="Calibri" w:hAnsi="Calibri" w:eastAsia="Calibri"/>
          <w:b w:val="0"/>
          <w:i w:val="0"/>
          <w:color w:val="4D5B68"/>
          <w:sz w:val="18"/>
        </w:rPr>
        <w:t>Browning affidavit</w:t>
      </w:r>
    </w:p>
    <w:p>
      <w:pPr>
        <w:pStyle w:val="ListBullet"/>
        <w:spacing w:after="60" w:line="240" w:lineRule="auto"/>
      </w:pPr>
      <w:r>
        <w:rPr>
          <w:rFonts w:ascii="Calibri" w:hAnsi="Calibri" w:eastAsia="Calibri"/>
          <w:b w:val="0"/>
          <w:i w:val="0"/>
          <w:color w:val="4D5B68"/>
          <w:sz w:val="18"/>
        </w:rPr>
        <w:t>Foreclosure notice, order, and withdrawal documents</w:t>
      </w:r>
    </w:p>
    <w:p>
      <w:pPr>
        <w:pStyle w:val="ListBullet"/>
        <w:spacing w:after="60" w:line="240" w:lineRule="auto"/>
      </w:pPr>
      <w:r>
        <w:rPr>
          <w:rFonts w:ascii="Calibri" w:hAnsi="Calibri" w:eastAsia="Calibri"/>
          <w:b w:val="0"/>
          <w:i w:val="0"/>
          <w:color w:val="4D5B68"/>
          <w:sz w:val="18"/>
        </w:rPr>
        <w:t>Summons, complaint-receipt, and service-affidavit records</w:t>
      </w:r>
    </w:p>
    <w:p>
      <w:pPr>
        <w:pStyle w:val="ListBullet"/>
        <w:spacing w:after="60" w:line="240" w:lineRule="auto"/>
      </w:pPr>
      <w:r>
        <w:rPr>
          <w:rFonts w:ascii="Consolas" w:hAnsi="Consolas" w:eastAsia="Consolas"/>
          <w:color w:val="4D5B68"/>
          <w:sz w:val="17"/>
        </w:rPr>
        <w:t>25-05-21 Offer to settle.docx</w:t>
      </w:r>
    </w:p>
    <w:p>
      <w:pPr>
        <w:pStyle w:val="ListBullet"/>
        <w:spacing w:after="60" w:line="240" w:lineRule="auto"/>
      </w:pPr>
      <w:r>
        <w:rPr>
          <w:rFonts w:ascii="Calibri" w:hAnsi="Calibri" w:eastAsia="Calibri"/>
          <w:b w:val="0"/>
          <w:i w:val="0"/>
          <w:color w:val="4D5B68"/>
          <w:sz w:val="18"/>
        </w:rPr>
        <w:t>Motion to Vacate GAL Appointment and related procedural orders</w:t>
      </w:r>
    </w:p>
    <w:p>
      <w:pPr>
        <w:pStyle w:val="ListBullet"/>
      </w:pPr>
      <w:r>
        <w:t>25-09-12 BGriffith Will Exhibit 13 Huston, Kevin Job# 303627.pdf</w:t>
      </w:r>
    </w:p>
    <w:p>
      <w:pPr>
        <w:pStyle w:val="ListBullet"/>
      </w:pPr>
      <w:r>
        <w:t>Wes's August 10, 2026 instruction email concerning journal and guardian-ad-litem additions.</w:t>
      </w:r>
    </w:p>
    <w:p>
      <w:pPr>
        <w:pStyle w:val="ListBullet"/>
      </w:pPr>
      <w:r>
        <w:t>26-07-21 Judges Order on Summary Judgment.pdf (filed July 21, 2026)</w:t>
      </w:r>
    </w:p>
    <w:sectPr w:rsidR="00FC693F" w:rsidRPr="0006063C" w:rsidSect="00034616">
      <w:headerReference w:type="default" r:id="rId9"/>
      <w:footerReference w:type="default" r:id="rId10"/>
      <w:headerReference w:type="even" r:id="rId12"/>
      <w:headerReference w:type="first" r:id="rId13"/>
      <w:footerReference w:type="even" r:id="rId14"/>
      <w:footerReference w:type="first" r:id="rId15"/>
      <w:pgSz w:w="12240" w:h="15840"/>
      <w:pgMar w:top="1080" w:right="1440" w:bottom="136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Pr>
    <w:r>
      <w:rPr>
        <w:rFonts w:ascii="Aptos" w:hAnsi="Aptos"/>
        <w:color w:val="4C5B69"/>
        <w:sz w:val="16"/>
      </w:rPr>
      <w:t xml:space="preserve">CONFIDENTIAL MEDIATION PREPARATION  |  2026-08-14  |  Version 1.2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2026-08-14  |  Version 1.2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2026-08-14  |  Version 1.2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Bdr>
        <w:bottom w:val="single" w:sz="4" w:space="3" w:color="AAB4BE"/>
      </w:pBdr>
      <w:pBdr>
        <w:bottom w:val="single" w:sz="4" w:space="5" w:color="AAB4B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9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59" w:lineRule="auto"/>
      <w:ind w:left="173" w:right="115"/>
    </w:pPr>
    <w:rPr>
      <w:rFonts w:ascii="Calibri" w:hAnsi="Calibri"/>
      <w:sz w:val="20"/>
    </w:rPr>
  </w:style>
  <w:style w:type="paragraph" w:customStyle="1" w:styleId="SourceList">
    <w:name w:val="Source List"/>
    <w:pPr>
      <w:spacing w:after="60" w:line="240" w:lineRule="auto"/>
      <w:ind w:left="403" w:hanging="259"/>
    </w:pPr>
    <w:rPr>
      <w:rFonts w:ascii="Calibri" w:hAnsi="Calibri"/>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leg.gov/EnactedLegislation/Statutes/HTML/ByChapter/Chapter_75.html" TargetMode="Externa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Mediation Timeline, Financials, and Proposed Sequence</dc:title>
  <dc:subject>Attorney review and confidential mediation preparation</dc:subject>
  <dc:creator>Buy Your Home</dc:creator>
  <cp:keywords>confidential, mediation, attorney review, Griffith v. Browning</cp:keywords>
  <dc:description/>
  <cp:lastModifiedBy>Buy Your Home</cp:lastModifiedBy>
  <cp:revision>1</cp:revision>
  <dcterms:created xsi:type="dcterms:W3CDTF">2013-12-23T23:15:00Z</dcterms:created>
  <dcterms:modified xsi:type="dcterms:W3CDTF">2026-08-14T15:44:36Z</dcterms:modified>
  <cp:category/>
</cp:coreProperties>
</file>