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BC581"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Buy-Sell Rights, New Members and</w:t>
      </w:r>
    </w:p>
    <w:p w14:paraId="50C4BD87"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Restrictions Upon Transfer of Membership Units</w:t>
      </w:r>
    </w:p>
    <w:p w14:paraId="26A7D1D1" w14:textId="77C51253" w:rsidR="001F6CD0" w:rsidRPr="00184709" w:rsidRDefault="00791C6B" w:rsidP="007A3BE0">
      <w:pPr>
        <w:pStyle w:val="Heading2"/>
        <w:keepNext w:val="0"/>
        <w:keepLines w:val="0"/>
        <w:widowControl w:val="0"/>
        <w:numPr>
          <w:ilvl w:val="1"/>
          <w:numId w:val="7"/>
        </w:numPr>
      </w:pPr>
      <w:r w:rsidRPr="00AD2E0C">
        <w:rPr>
          <w:b/>
          <w:bCs w:val="0"/>
          <w:u w:val="single"/>
        </w:rPr>
        <w:t>Transfer of Member’s Rights Without Consent.</w:t>
      </w:r>
      <w:r w:rsidRPr="00184709">
        <w:t xml:space="preserve">  </w:t>
      </w:r>
      <w:r w:rsidR="00CB4CA1" w:rsidRPr="00CB4CA1">
        <w:rPr>
          <w:color w:val="0070C0"/>
        </w:rPr>
        <w:t>A Member can’t transfer their Membership Units without unanimous written consent from all other Members. Any unauthorized transfer is void, and the transferee only gets the right to receive profits or distributions—not voting or membership rights—unless they agree to this Agreement and all Members approve.</w:t>
      </w:r>
    </w:p>
    <w:p w14:paraId="0F28F660" w14:textId="2E5F596E" w:rsidR="001F6CD0" w:rsidRPr="00184709" w:rsidRDefault="00791C6B" w:rsidP="007A3BE0">
      <w:pPr>
        <w:pStyle w:val="Heading2"/>
        <w:keepNext w:val="0"/>
        <w:keepLines w:val="0"/>
        <w:widowControl w:val="0"/>
        <w:numPr>
          <w:ilvl w:val="1"/>
          <w:numId w:val="7"/>
        </w:numPr>
      </w:pPr>
      <w:r w:rsidRPr="00AD2E0C">
        <w:rPr>
          <w:b/>
          <w:bCs w:val="0"/>
          <w:u w:val="single"/>
        </w:rPr>
        <w:t>Transfer of Control of a Member.</w:t>
      </w:r>
      <w:r w:rsidRPr="00184709">
        <w:t xml:space="preserve">  </w:t>
      </w:r>
      <w:r w:rsidR="005D2624" w:rsidRPr="005D2624">
        <w:rPr>
          <w:color w:val="0070C0"/>
        </w:rPr>
        <w:t xml:space="preserve">If control of a Member that isn’t an individual changes—whether voluntarily or not—it counts as a transfer under </w:t>
      </w:r>
      <w:r w:rsidR="005D2624" w:rsidRPr="005D2624">
        <w:rPr>
          <w:b/>
          <w:color w:val="0070C0"/>
        </w:rPr>
        <w:t>Section 3.1</w:t>
      </w:r>
      <w:r w:rsidR="005D2624" w:rsidRPr="005D2624">
        <w:rPr>
          <w:color w:val="0070C0"/>
        </w:rPr>
        <w:t xml:space="preserve"> and requires unanimous consent from all Members. “Control” means having over 50% of the voting power or the ability to direct decisions.</w:t>
      </w:r>
    </w:p>
    <w:p w14:paraId="3180843D" w14:textId="7782A7EA" w:rsidR="001F6CD0" w:rsidRPr="00AD2E0C" w:rsidRDefault="00791C6B" w:rsidP="007A3BE0">
      <w:pPr>
        <w:pStyle w:val="Heading2"/>
        <w:keepNext w:val="0"/>
        <w:keepLines w:val="0"/>
        <w:widowControl w:val="0"/>
        <w:numPr>
          <w:ilvl w:val="1"/>
          <w:numId w:val="7"/>
        </w:numPr>
        <w:rPr>
          <w:b/>
          <w:bCs w:val="0"/>
          <w:u w:val="single"/>
        </w:rPr>
      </w:pPr>
      <w:r w:rsidRPr="00AD2E0C">
        <w:rPr>
          <w:b/>
          <w:bCs w:val="0"/>
          <w:u w:val="single"/>
        </w:rPr>
        <w:t>Consequences of Wrongful Transfer or Withdrawal.</w:t>
      </w:r>
      <w:r w:rsidR="005D2624" w:rsidRPr="009B221C">
        <w:rPr>
          <w:b/>
          <w:bCs w:val="0"/>
        </w:rPr>
        <w:t xml:space="preserve"> </w:t>
      </w:r>
      <w:r w:rsidR="005D2624" w:rsidRPr="009B221C">
        <w:rPr>
          <w:color w:val="0070C0"/>
        </w:rPr>
        <w:t>A Member can’t leave or transfer their Units without unanimous approval. If a Member tries to transfer, resign, or is deemed to have done so without following the rules:</w:t>
      </w:r>
    </w:p>
    <w:p w14:paraId="71F89EEC" w14:textId="1CC5B5C7" w:rsidR="005D2624" w:rsidRPr="005D2624" w:rsidRDefault="005D2624" w:rsidP="007A3BE0">
      <w:pPr>
        <w:pStyle w:val="Heading3"/>
        <w:widowControl w:val="0"/>
        <w:numPr>
          <w:ilvl w:val="2"/>
          <w:numId w:val="7"/>
        </w:numPr>
        <w:jc w:val="both"/>
        <w:rPr>
          <w:color w:val="0070C0"/>
        </w:rPr>
      </w:pPr>
      <w:r w:rsidRPr="005D2624">
        <w:rPr>
          <w:color w:val="0070C0"/>
        </w:rPr>
        <w:t>They immediately lose their status as a Member.</w:t>
      </w:r>
    </w:p>
    <w:p w14:paraId="08033F79" w14:textId="67DB54B4" w:rsidR="005D2624" w:rsidRDefault="005D2624" w:rsidP="007A3BE0">
      <w:pPr>
        <w:pStyle w:val="Heading3"/>
        <w:keepNext w:val="0"/>
        <w:keepLines w:val="0"/>
        <w:widowControl w:val="0"/>
        <w:numPr>
          <w:ilvl w:val="2"/>
          <w:numId w:val="7"/>
        </w:numPr>
        <w:jc w:val="both"/>
        <w:rPr>
          <w:bCs w:val="0"/>
          <w:color w:val="0070C0"/>
        </w:rPr>
      </w:pPr>
      <w:r w:rsidRPr="005D2624">
        <w:rPr>
          <w:bCs w:val="0"/>
          <w:color w:val="0070C0"/>
        </w:rPr>
        <w:t>Any remaining Units become “Transferor’s Units.”</w:t>
      </w:r>
    </w:p>
    <w:p w14:paraId="62603C12" w14:textId="77777777" w:rsidR="00EC5FD3" w:rsidRDefault="005D2624" w:rsidP="007A3BE0">
      <w:pPr>
        <w:pStyle w:val="Heading3"/>
        <w:keepNext w:val="0"/>
        <w:keepLines w:val="0"/>
        <w:widowControl w:val="0"/>
        <w:numPr>
          <w:ilvl w:val="2"/>
          <w:numId w:val="7"/>
        </w:numPr>
        <w:jc w:val="both"/>
        <w:rPr>
          <w:bCs w:val="0"/>
          <w:color w:val="0070C0"/>
        </w:rPr>
      </w:pPr>
      <w:r w:rsidRPr="005D2624">
        <w:rPr>
          <w:bCs w:val="0"/>
          <w:color w:val="0070C0"/>
        </w:rPr>
        <w:t>They are responsible for any damages caused to the Company or other Members.</w:t>
      </w:r>
    </w:p>
    <w:p w14:paraId="1770E4E1" w14:textId="77777777" w:rsidR="00EC5FD3"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Status of Transferee.</w:t>
      </w:r>
      <w:r w:rsidRPr="00184709">
        <w:t xml:space="preserve">  </w:t>
      </w:r>
      <w:r w:rsidR="005D2624" w:rsidRPr="00EC5FD3">
        <w:rPr>
          <w:color w:val="0070C0"/>
        </w:rPr>
        <w:t>Someone who receives Membership Units without full approval has no voting rights or control in the Company. They only receive the transferring Member’s share of profits, losses, capital, and distributions, as allowed under this Agreement.</w:t>
      </w:r>
    </w:p>
    <w:p w14:paraId="50CF2AC8" w14:textId="626352EB" w:rsidR="001F6CD0"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Additional Members.</w:t>
      </w:r>
      <w:r w:rsidRPr="00184709">
        <w:t xml:space="preserve">  </w:t>
      </w:r>
      <w:r w:rsidR="005D2624" w:rsidRPr="00EC5FD3">
        <w:rPr>
          <w:bCs w:val="0"/>
          <w:color w:val="0070C0"/>
        </w:rPr>
        <w:t xml:space="preserve">A new person can become a Member—but only if all </w:t>
      </w:r>
      <w:r w:rsidR="005D2624" w:rsidRPr="00EC5FD3">
        <w:rPr>
          <w:bCs w:val="0"/>
          <w:color w:val="0070C0"/>
        </w:rPr>
        <w:lastRenderedPageBreak/>
        <w:t>existing Members unanimously agree and set the terms together with the new Member.</w:t>
      </w:r>
    </w:p>
    <w:p w14:paraId="36A92AAD" w14:textId="02A76A44" w:rsidR="001F6CD0" w:rsidRPr="00184709" w:rsidRDefault="00791C6B" w:rsidP="007A3BE0">
      <w:pPr>
        <w:pStyle w:val="Heading2"/>
        <w:keepNext w:val="0"/>
        <w:keepLines w:val="0"/>
        <w:widowControl w:val="0"/>
        <w:numPr>
          <w:ilvl w:val="1"/>
          <w:numId w:val="7"/>
        </w:numPr>
      </w:pPr>
      <w:r w:rsidRPr="00AD2E0C">
        <w:rPr>
          <w:b/>
          <w:bCs w:val="0"/>
          <w:u w:val="single"/>
        </w:rPr>
        <w:t>Buy-Sell Rights on Sale.</w:t>
      </w:r>
      <w:r w:rsidRPr="00184709">
        <w:t xml:space="preserve">  </w:t>
      </w:r>
      <w:r w:rsidR="002F3CE8" w:rsidRPr="002F3CE8">
        <w:rPr>
          <w:color w:val="0070C0"/>
        </w:rPr>
        <w:t xml:space="preserve">If a Member wants to sell any or all of their Membership Units without getting unanimous written consent from the other Members (as required in </w:t>
      </w:r>
      <w:r w:rsidR="002F3CE8" w:rsidRPr="002F3CE8">
        <w:rPr>
          <w:b/>
          <w:color w:val="0070C0"/>
        </w:rPr>
        <w:t>Section 3.1</w:t>
      </w:r>
      <w:r w:rsidR="002F3CE8" w:rsidRPr="002F3CE8">
        <w:rPr>
          <w:color w:val="0070C0"/>
        </w:rPr>
        <w:t>), they must follow this process:</w:t>
      </w:r>
    </w:p>
    <w:p w14:paraId="12D6F788" w14:textId="4D37D7CC"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Notice and Offer.</w:t>
      </w:r>
      <w:r w:rsidR="002F3CE8" w:rsidRPr="002C7ABB">
        <w:rPr>
          <w:b/>
          <w:bCs w:val="0"/>
        </w:rPr>
        <w:t xml:space="preserve"> </w:t>
      </w:r>
      <w:r w:rsidR="002F3CE8" w:rsidRPr="002F3CE8">
        <w:rPr>
          <w:color w:val="0070C0"/>
        </w:rPr>
        <w:t xml:space="preserve">The Member or their legal representative (the “Seller”) must first offer the Units in writing to the Company and the other Members. If the sale is due to death or permanent disability of a Member or an Account Holder, the Company has the right, but not the obligation, to purchase the Units within 90 days. The purchase price must be determined using the valuation methods in </w:t>
      </w:r>
      <w:r w:rsidR="002F3CE8" w:rsidRPr="002F3CE8">
        <w:rPr>
          <w:b/>
          <w:color w:val="0070C0"/>
        </w:rPr>
        <w:t>Sections 3.8</w:t>
      </w:r>
      <w:r w:rsidR="002F3CE8" w:rsidRPr="002F3CE8">
        <w:rPr>
          <w:color w:val="0070C0"/>
        </w:rPr>
        <w:t xml:space="preserve">, </w:t>
      </w:r>
      <w:r w:rsidR="002F3CE8" w:rsidRPr="002F3CE8">
        <w:rPr>
          <w:b/>
          <w:color w:val="0070C0"/>
        </w:rPr>
        <w:t>3.9</w:t>
      </w:r>
      <w:r w:rsidR="002F3CE8" w:rsidRPr="002F3CE8">
        <w:rPr>
          <w:color w:val="0070C0"/>
        </w:rPr>
        <w:t xml:space="preserve">, and </w:t>
      </w:r>
      <w:r w:rsidR="002F3CE8" w:rsidRPr="002F3CE8">
        <w:rPr>
          <w:b/>
          <w:color w:val="0070C0"/>
        </w:rPr>
        <w:t>3.10</w:t>
      </w:r>
      <w:r w:rsidR="002F3CE8" w:rsidRPr="002F3CE8">
        <w:rPr>
          <w:color w:val="0070C0"/>
        </w:rPr>
        <w:t>.</w:t>
      </w:r>
    </w:p>
    <w:p w14:paraId="5BE2D739" w14:textId="668CF729"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Acceptance by the Remaining Parties.</w:t>
      </w:r>
      <w:r w:rsidR="002C7ABB" w:rsidRPr="0070198D">
        <w:rPr>
          <w:color w:val="0070C0"/>
        </w:rPr>
        <w:t xml:space="preserve"> </w:t>
      </w:r>
      <w:r w:rsidR="0070198D" w:rsidRPr="0070198D">
        <w:rPr>
          <w:color w:val="0070C0"/>
        </w:rPr>
        <w:t xml:space="preserve">The Company or any remaining Members may accept the offer and purchase the Units. If accepted, the purchase must be completed under the terms specified in </w:t>
      </w:r>
      <w:r w:rsidR="0070198D" w:rsidRPr="0070198D">
        <w:rPr>
          <w:b/>
          <w:color w:val="0070C0"/>
        </w:rPr>
        <w:t>Section 3.6(d)</w:t>
      </w:r>
      <w:r w:rsidR="0070198D" w:rsidRPr="0070198D">
        <w:rPr>
          <w:color w:val="0070C0"/>
        </w:rPr>
        <w:t>.</w:t>
      </w:r>
    </w:p>
    <w:p w14:paraId="2867961A" w14:textId="06189745"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Disposition to Prospective Purchaser.</w:t>
      </w:r>
      <w:r w:rsidR="002C7ABB" w:rsidRPr="0070198D">
        <w:rPr>
          <w:color w:val="0070C0"/>
        </w:rPr>
        <w:t xml:space="preserve"> </w:t>
      </w:r>
      <w:r w:rsidR="0070198D" w:rsidRPr="0070198D">
        <w:rPr>
          <w:color w:val="0070C0"/>
        </w:rPr>
        <w:t xml:space="preserve">If neither the Company nor the Members accept the offer, the Seller may sell the Units to an outside party. However, the transfer is still subject to the restrictions in </w:t>
      </w:r>
      <w:r w:rsidR="0070198D" w:rsidRPr="0070198D">
        <w:rPr>
          <w:b/>
          <w:color w:val="0070C0"/>
        </w:rPr>
        <w:t>Section 3.1</w:t>
      </w:r>
      <w:r w:rsidR="0070198D" w:rsidRPr="0070198D">
        <w:rPr>
          <w:color w:val="0070C0"/>
        </w:rPr>
        <w:t xml:space="preserve"> (requiring unanimous consent) and </w:t>
      </w:r>
      <w:r w:rsidR="0070198D" w:rsidRPr="0070198D">
        <w:rPr>
          <w:b/>
          <w:color w:val="0070C0"/>
        </w:rPr>
        <w:t>Section 3.4</w:t>
      </w:r>
      <w:r w:rsidR="0070198D" w:rsidRPr="0070198D">
        <w:rPr>
          <w:color w:val="0070C0"/>
        </w:rPr>
        <w:t xml:space="preserve"> (limiting the transferee’s rights unless formally admitted as a Member)</w:t>
      </w:r>
    </w:p>
    <w:p w14:paraId="28F6289B" w14:textId="03AED545" w:rsidR="001F6CD0" w:rsidRPr="00184709" w:rsidRDefault="00791C6B" w:rsidP="007A3BE0">
      <w:pPr>
        <w:pStyle w:val="Heading3"/>
        <w:keepNext w:val="0"/>
        <w:keepLines w:val="0"/>
        <w:widowControl w:val="0"/>
        <w:numPr>
          <w:ilvl w:val="2"/>
          <w:numId w:val="8"/>
        </w:numPr>
      </w:pPr>
      <w:r w:rsidRPr="002F3CE8">
        <w:rPr>
          <w:b/>
          <w:bCs w:val="0"/>
          <w:u w:val="single"/>
        </w:rPr>
        <w:t>Payment and Closing by Parties.</w:t>
      </w:r>
      <w:r w:rsidR="008873F9" w:rsidRPr="008873F9">
        <w:t xml:space="preserve"> </w:t>
      </w:r>
      <w:r w:rsidR="0070198D" w:rsidRPr="0070198D">
        <w:rPr>
          <w:color w:val="0070C0"/>
        </w:rPr>
        <w:t>Unless all parties agree otherwise in writing, the following payment terms apply</w:t>
      </w:r>
      <w:r w:rsidR="0070198D">
        <w:rPr>
          <w:rFonts w:ascii="Segoe UI Emoji" w:eastAsia="Segoe UI Emoji" w:hAnsi="Segoe UI Emoji" w:cs="Segoe UI Emoji"/>
          <w:color w:val="0070C0"/>
        </w:rPr>
        <w:t>:</w:t>
      </w:r>
    </w:p>
    <w:p w14:paraId="06808EE4" w14:textId="6538635F" w:rsidR="001F6CD0" w:rsidRPr="00184709" w:rsidRDefault="0070198D" w:rsidP="007A3BE0">
      <w:pPr>
        <w:pStyle w:val="Heading4"/>
        <w:keepNext w:val="0"/>
        <w:keepLines w:val="0"/>
        <w:widowControl w:val="0"/>
        <w:numPr>
          <w:ilvl w:val="3"/>
          <w:numId w:val="8"/>
        </w:numPr>
      </w:pPr>
      <w:r>
        <w:t xml:space="preserve"> </w:t>
      </w:r>
      <w:r w:rsidRPr="0070198D">
        <w:rPr>
          <w:color w:val="0070C0"/>
        </w:rPr>
        <w:t>(If the Units are valued at $50,000 or less, payment must be made within one (1) year of closing.)</w:t>
      </w:r>
    </w:p>
    <w:p w14:paraId="0CF6665F" w14:textId="764085ED" w:rsidR="001F6CD0" w:rsidRPr="00184709" w:rsidRDefault="0070198D" w:rsidP="007A3BE0">
      <w:pPr>
        <w:pStyle w:val="Heading4"/>
        <w:keepNext w:val="0"/>
        <w:keepLines w:val="0"/>
        <w:widowControl w:val="0"/>
        <w:numPr>
          <w:ilvl w:val="3"/>
          <w:numId w:val="8"/>
        </w:numPr>
      </w:pPr>
      <w:r w:rsidRPr="0070198D">
        <w:rPr>
          <w:color w:val="0070C0"/>
        </w:rPr>
        <w:t>If the value is more than $50,000 but not more than $250,000, payment must be made within five (5) years of closing.</w:t>
      </w:r>
    </w:p>
    <w:p w14:paraId="63C1FE0F" w14:textId="630D5508" w:rsidR="001F6CD0" w:rsidRPr="00184709" w:rsidRDefault="0070198D" w:rsidP="007A3BE0">
      <w:pPr>
        <w:pStyle w:val="Heading4"/>
        <w:keepNext w:val="0"/>
        <w:keepLines w:val="0"/>
        <w:widowControl w:val="0"/>
        <w:numPr>
          <w:ilvl w:val="3"/>
          <w:numId w:val="8"/>
        </w:numPr>
      </w:pPr>
      <w:r w:rsidRPr="0070198D">
        <w:rPr>
          <w:color w:val="0070C0"/>
        </w:rPr>
        <w:t>If the value exceeds $250,000, payment must be made within eight (8) years of closing.</w:t>
      </w:r>
    </w:p>
    <w:p w14:paraId="5B831BC9" w14:textId="24148901" w:rsidR="0070198D" w:rsidRPr="00535973" w:rsidRDefault="0070198D" w:rsidP="004F11AA">
      <w:pPr>
        <w:pStyle w:val="Heading1"/>
        <w:keepNext w:val="0"/>
        <w:keepLines w:val="0"/>
        <w:widowControl w:val="0"/>
        <w:jc w:val="both"/>
        <w:rPr>
          <w:b w:val="0"/>
          <w:bCs w:val="0"/>
          <w:color w:val="0070C0"/>
          <w:sz w:val="22"/>
          <w:szCs w:val="22"/>
        </w:rPr>
      </w:pPr>
      <w:r w:rsidRPr="00535973">
        <w:rPr>
          <w:b w:val="0"/>
          <w:bCs w:val="0"/>
          <w:color w:val="0070C0"/>
          <w:sz w:val="22"/>
          <w:szCs w:val="22"/>
        </w:rPr>
        <w:t>The closing of the sale must take place within ninety (90) days after the Company or remaining Members accept the offer. If they do not complete the purchase within that time, the Seller may proceed to sell the Units to a third party, subject to the restrictions in Section 3.1 (requiring unanimous Member consent) and Section 3.4 (which limits the rights of a transferee who is not admitted as a Member).</w:t>
      </w:r>
    </w:p>
    <w:p w14:paraId="1311FA00"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182DF1C7"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7F963E85"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329E15D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6119523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19FF4090"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2A9E0D5D"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454792B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328C747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51F96287" w14:textId="65D4DF6E" w:rsidR="00535973" w:rsidRPr="00535973" w:rsidRDefault="00791C6B" w:rsidP="007A3BE0">
      <w:pPr>
        <w:pStyle w:val="Heading2"/>
        <w:widowControl w:val="0"/>
        <w:numPr>
          <w:ilvl w:val="1"/>
          <w:numId w:val="12"/>
        </w:numPr>
        <w:rPr>
          <w:color w:val="0070C0"/>
        </w:rPr>
      </w:pPr>
      <w:r w:rsidRPr="005F312E">
        <w:rPr>
          <w:b/>
          <w:bCs w:val="0"/>
          <w:u w:val="single"/>
        </w:rPr>
        <w:t>Buy-Sell Rights After Death or Disability of Member or Account Holder.</w:t>
      </w:r>
      <w:r w:rsidR="00535973">
        <w:t xml:space="preserve"> </w:t>
      </w:r>
      <w:r w:rsidR="00535973" w:rsidRPr="00535973">
        <w:rPr>
          <w:color w:val="0070C0"/>
        </w:rPr>
        <w:t xml:space="preserve">If a Member who is an individual—or the Account Holder of a Member that is not an individual—dies or becomes permanently and totally disabled, the Company has the right (but not the obligation) to purchase that Member’s Units. This right lasts for 90 days from the date of death or disability. The purchase price must be calculated using the methods in </w:t>
      </w:r>
      <w:r w:rsidR="00535973" w:rsidRPr="00535973">
        <w:rPr>
          <w:b/>
          <w:color w:val="0070C0"/>
        </w:rPr>
        <w:t>Sections 3.8</w:t>
      </w:r>
      <w:r w:rsidR="00535973" w:rsidRPr="00535973">
        <w:rPr>
          <w:color w:val="0070C0"/>
        </w:rPr>
        <w:t xml:space="preserve">, </w:t>
      </w:r>
      <w:r w:rsidR="00535973" w:rsidRPr="00535973">
        <w:rPr>
          <w:b/>
          <w:color w:val="0070C0"/>
        </w:rPr>
        <w:t>3.9</w:t>
      </w:r>
      <w:r w:rsidR="00535973" w:rsidRPr="00535973">
        <w:rPr>
          <w:color w:val="0070C0"/>
        </w:rPr>
        <w:t xml:space="preserve">, and </w:t>
      </w:r>
      <w:r w:rsidR="00535973" w:rsidRPr="00535973">
        <w:rPr>
          <w:b/>
          <w:color w:val="0070C0"/>
        </w:rPr>
        <w:t>3.10</w:t>
      </w:r>
      <w:r w:rsidR="00535973" w:rsidRPr="00535973">
        <w:rPr>
          <w:color w:val="0070C0"/>
        </w:rPr>
        <w:t xml:space="preserve">, and the payment and closing must follow the terms set out in </w:t>
      </w:r>
      <w:r w:rsidR="00535973" w:rsidRPr="00535973">
        <w:rPr>
          <w:b/>
          <w:color w:val="0070C0"/>
        </w:rPr>
        <w:t>Section 3.6(d)</w:t>
      </w:r>
      <w:r w:rsidR="00535973" w:rsidRPr="00535973">
        <w:rPr>
          <w:color w:val="0070C0"/>
        </w:rPr>
        <w:t>.</w:t>
      </w:r>
    </w:p>
    <w:p w14:paraId="40B22B69" w14:textId="707B0943" w:rsidR="001F6CD0" w:rsidRPr="00535973" w:rsidRDefault="00535973" w:rsidP="00CB532D">
      <w:pPr>
        <w:pStyle w:val="Heading2"/>
        <w:widowControl w:val="0"/>
        <w:ind w:left="576"/>
        <w:rPr>
          <w:color w:val="0070C0"/>
        </w:rPr>
      </w:pPr>
      <w:r w:rsidRPr="00535973">
        <w:rPr>
          <w:i/>
          <w:iCs/>
          <w:color w:val="0070C0"/>
        </w:rPr>
        <w:t>Note: “Account Holder” means the beneficial owner of an IRA, HSA, or the Responsible Individual in a Coverdell ESA that is a Member of the Company.</w:t>
      </w:r>
      <w:r w:rsidRPr="00535973">
        <w:rPr>
          <w:color w:val="0070C0"/>
        </w:rPr>
        <w:t>)</w:t>
      </w:r>
    </w:p>
    <w:p w14:paraId="0E3829BF" w14:textId="213F6944" w:rsidR="001F6CD0" w:rsidRPr="005F312E" w:rsidRDefault="00791C6B" w:rsidP="007A3BE0">
      <w:pPr>
        <w:pStyle w:val="Heading2"/>
        <w:keepNext w:val="0"/>
        <w:keepLines w:val="0"/>
        <w:widowControl w:val="0"/>
        <w:numPr>
          <w:ilvl w:val="1"/>
          <w:numId w:val="12"/>
        </w:numPr>
        <w:rPr>
          <w:b/>
          <w:bCs w:val="0"/>
          <w:u w:val="single"/>
        </w:rPr>
      </w:pPr>
      <w:r w:rsidRPr="005F312E">
        <w:rPr>
          <w:b/>
          <w:bCs w:val="0"/>
          <w:u w:val="single"/>
        </w:rPr>
        <w:t>Calculation of Book Value.</w:t>
      </w:r>
      <w:r w:rsidR="00D479B6" w:rsidRPr="00E16D1A">
        <w:rPr>
          <w:b/>
          <w:bCs w:val="0"/>
        </w:rPr>
        <w:t xml:space="preserve"> </w:t>
      </w:r>
      <w:r w:rsidR="00E16D1A" w:rsidRPr="00E16D1A">
        <w:rPr>
          <w:b/>
          <w:bCs w:val="0"/>
        </w:rPr>
        <w:t xml:space="preserve"> </w:t>
      </w:r>
      <w:r w:rsidR="00535973" w:rsidRPr="00535973">
        <w:rPr>
          <w:color w:val="0070C0"/>
        </w:rPr>
        <w:t>Unless otherwise agreed, Membership Units being sold under this Article will be valued at their “Book Value.” This is based on the Company’s financial records, adjusted as follows</w:t>
      </w:r>
      <w:r w:rsidR="005A2E0C">
        <w:rPr>
          <w:rFonts w:ascii="Segoe UI Emoji" w:eastAsia="Segoe UI Emoji" w:hAnsi="Segoe UI Emoji" w:cs="Segoe UI Emoji"/>
          <w:color w:val="0070C0"/>
        </w:rPr>
        <w:t>:</w:t>
      </w:r>
    </w:p>
    <w:p w14:paraId="1BA64C9F" w14:textId="1C5126F4" w:rsidR="001F6CD0" w:rsidRPr="00184709" w:rsidRDefault="00E7676A" w:rsidP="007A3BE0">
      <w:pPr>
        <w:pStyle w:val="Heading3"/>
        <w:keepNext w:val="0"/>
        <w:keepLines w:val="0"/>
        <w:widowControl w:val="0"/>
        <w:numPr>
          <w:ilvl w:val="2"/>
          <w:numId w:val="12"/>
        </w:numPr>
      </w:pPr>
      <w:r w:rsidRPr="006767D1">
        <w:rPr>
          <w:color w:val="0070C0"/>
        </w:rPr>
        <w:t>Real estate is valued at fair market value as of the end of the fiscal quarter before the sale.</w:t>
      </w:r>
    </w:p>
    <w:p w14:paraId="55D62722" w14:textId="4AEAD989" w:rsidR="001F6CD0" w:rsidRPr="00184709" w:rsidRDefault="00FE6673" w:rsidP="007A3BE0">
      <w:pPr>
        <w:pStyle w:val="Heading3"/>
        <w:keepNext w:val="0"/>
        <w:keepLines w:val="0"/>
        <w:widowControl w:val="0"/>
        <w:numPr>
          <w:ilvl w:val="2"/>
          <w:numId w:val="12"/>
        </w:numPr>
      </w:pPr>
      <w:r w:rsidRPr="00FE6673">
        <w:rPr>
          <w:color w:val="0070C0"/>
        </w:rPr>
        <w:t>Equipment, fixtures, and machinery are also appraised as of the same quarter-end.</w:t>
      </w:r>
    </w:p>
    <w:p w14:paraId="13A8261C" w14:textId="0707478E" w:rsidR="001F6CD0" w:rsidRPr="00184709" w:rsidRDefault="00903BBA" w:rsidP="007A3BE0">
      <w:pPr>
        <w:pStyle w:val="Heading3"/>
        <w:keepNext w:val="0"/>
        <w:keepLines w:val="0"/>
        <w:widowControl w:val="0"/>
        <w:numPr>
          <w:ilvl w:val="2"/>
          <w:numId w:val="12"/>
        </w:numPr>
      </w:pPr>
      <w:r w:rsidRPr="00903BBA">
        <w:rPr>
          <w:color w:val="0070C0"/>
        </w:rPr>
        <w:t>Inventory is valued at the lower of cost or market, based on a physical count.</w:t>
      </w:r>
    </w:p>
    <w:p w14:paraId="34CAC315" w14:textId="5CF97A6F" w:rsidR="001F6CD0" w:rsidRPr="00184709" w:rsidRDefault="00861D54" w:rsidP="007A3BE0">
      <w:pPr>
        <w:pStyle w:val="Heading3"/>
        <w:keepNext w:val="0"/>
        <w:keepLines w:val="0"/>
        <w:widowControl w:val="0"/>
        <w:numPr>
          <w:ilvl w:val="2"/>
          <w:numId w:val="12"/>
        </w:numPr>
      </w:pPr>
      <w:r w:rsidRPr="00861D54">
        <w:rPr>
          <w:color w:val="0070C0"/>
        </w:rPr>
        <w:t>All unpaid and accrued taxes are treated as liabilities and deducted.</w:t>
      </w:r>
    </w:p>
    <w:p w14:paraId="61AADE55" w14:textId="472E27FC" w:rsidR="001F6CD0" w:rsidRDefault="00015F96" w:rsidP="007A3BE0">
      <w:pPr>
        <w:pStyle w:val="Heading3"/>
        <w:keepNext w:val="0"/>
        <w:keepLines w:val="0"/>
        <w:widowControl w:val="0"/>
        <w:numPr>
          <w:ilvl w:val="2"/>
          <w:numId w:val="12"/>
        </w:numPr>
        <w:rPr>
          <w:color w:val="0070C0"/>
        </w:rPr>
      </w:pPr>
      <w:r w:rsidRPr="008C7ADE">
        <w:rPr>
          <w:color w:val="0070C0"/>
        </w:rPr>
        <w:t>(</w:t>
      </w:r>
      <w:r w:rsidR="008C7ADE" w:rsidRPr="008C7ADE">
        <w:rPr>
          <w:color w:val="0070C0"/>
        </w:rPr>
        <w:t>Profits or losses from the current fiscal year up to the end of the prior quarter are factored in.</w:t>
      </w:r>
    </w:p>
    <w:p w14:paraId="0CD1C6CA" w14:textId="77777777" w:rsidR="00E16D1A" w:rsidRDefault="00E16D1A" w:rsidP="00D20E4F">
      <w:pPr>
        <w:rPr>
          <w:color w:val="0070C0"/>
        </w:rPr>
      </w:pPr>
    </w:p>
    <w:p w14:paraId="09689103" w14:textId="50C0BAF9" w:rsidR="006F05AA" w:rsidRPr="00D20E4F" w:rsidRDefault="006F05AA" w:rsidP="00D20E4F">
      <w:pPr>
        <w:rPr>
          <w:color w:val="0070C0"/>
        </w:rPr>
      </w:pPr>
      <w:r w:rsidRPr="00D20E4F">
        <w:rPr>
          <w:color w:val="0070C0"/>
        </w:rPr>
        <w:t>These adjustments are applied to the Company’s internal accounting values to determine the final per-Unit Book Value.</w:t>
      </w:r>
    </w:p>
    <w:p w14:paraId="73205DAF" w14:textId="0A3781BD"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Agreed Value.</w:t>
      </w:r>
      <w:r w:rsidR="00D03007" w:rsidRPr="00815C43">
        <w:rPr>
          <w:color w:val="0070C0"/>
        </w:rPr>
        <w:t xml:space="preserve"> </w:t>
      </w:r>
      <w:r w:rsidR="00815C43" w:rsidRPr="00815C43">
        <w:rPr>
          <w:color w:val="0070C0"/>
        </w:rPr>
        <w:t xml:space="preserve">Instead of using Book Value (as defined in </w:t>
      </w:r>
      <w:r w:rsidR="00815C43" w:rsidRPr="00815C43">
        <w:rPr>
          <w:b/>
          <w:color w:val="0070C0"/>
        </w:rPr>
        <w:t>Section 3.8</w:t>
      </w:r>
      <w:r w:rsidR="00815C43" w:rsidRPr="00815C43">
        <w:rPr>
          <w:color w:val="0070C0"/>
        </w:rPr>
        <w:t>), the Members may use “Agreed Value” to set the price per Unit. Agreed Value means the value listed in a Certificate of Agreed Value that has been signed by all Members and filed with the Company. This certificate is only valid if all Members signed it within one year of the last signature. Members can update or create a new Certificate of Agreed Value at any time.</w:t>
      </w:r>
    </w:p>
    <w:p w14:paraId="3BB6F79D" w14:textId="41B492C4"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Determination of Book Value.</w:t>
      </w:r>
      <w:r w:rsidR="00D03007" w:rsidRPr="001D2867">
        <w:rPr>
          <w:color w:val="0070C0"/>
        </w:rPr>
        <w:t xml:space="preserve"> </w:t>
      </w:r>
      <w:r w:rsidR="001D2867" w:rsidRPr="001D2867">
        <w:rPr>
          <w:color w:val="0070C0"/>
        </w:rPr>
        <w:t xml:space="preserve">The Company’s accountant will determine the Book Value (as described in </w:t>
      </w:r>
      <w:r w:rsidR="001D2867" w:rsidRPr="001D2867">
        <w:rPr>
          <w:b/>
          <w:color w:val="0070C0"/>
        </w:rPr>
        <w:t>Section 3.8</w:t>
      </w:r>
      <w:r w:rsidR="001D2867" w:rsidRPr="001D2867">
        <w:rPr>
          <w:color w:val="0070C0"/>
        </w:rPr>
        <w:t>) unless the Company doesn’t have one—then the Company will hire one for this purpose. If the Seller disagrees with the value, they can hire their own accountant. If both accountants’ valuations are within 5% of each other, the final Book Value will be the average of the two. If they differ by more than 5%, those two accountants must agree on a third one, whose valuation will be final and binding for everyone.</w:t>
      </w:r>
    </w:p>
    <w:p w14:paraId="75461162" w14:textId="06850670" w:rsidR="001F6CD0" w:rsidRDefault="001F6CD0" w:rsidP="007A3BE0">
      <w:pPr>
        <w:pStyle w:val="Heading1"/>
        <w:numPr>
          <w:ilvl w:val="0"/>
          <w:numId w:val="12"/>
        </w:numPr>
      </w:pP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28CC1" w14:textId="77777777" w:rsidR="00615DF6" w:rsidRDefault="00615DF6" w:rsidP="00AE4C1E">
      <w:pPr>
        <w:spacing w:after="0" w:line="240" w:lineRule="auto"/>
      </w:pPr>
      <w:r>
        <w:separator/>
      </w:r>
    </w:p>
  </w:endnote>
  <w:endnote w:type="continuationSeparator" w:id="0">
    <w:p w14:paraId="359CC768" w14:textId="77777777" w:rsidR="00615DF6" w:rsidRDefault="00615DF6" w:rsidP="00AE4C1E">
      <w:pPr>
        <w:spacing w:after="0" w:line="240" w:lineRule="auto"/>
      </w:pPr>
      <w:r>
        <w:continuationSeparator/>
      </w:r>
    </w:p>
  </w:endnote>
  <w:endnote w:type="continuationNotice" w:id="1">
    <w:p w14:paraId="78DFE681" w14:textId="77777777" w:rsidR="00615DF6" w:rsidRDefault="00615DF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E7346" w14:textId="77777777" w:rsidR="00615DF6" w:rsidRDefault="00615DF6" w:rsidP="00AE4C1E">
      <w:pPr>
        <w:spacing w:after="0" w:line="240" w:lineRule="auto"/>
      </w:pPr>
      <w:r>
        <w:separator/>
      </w:r>
    </w:p>
  </w:footnote>
  <w:footnote w:type="continuationSeparator" w:id="0">
    <w:p w14:paraId="02245A92" w14:textId="77777777" w:rsidR="00615DF6" w:rsidRDefault="00615DF6" w:rsidP="00AE4C1E">
      <w:pPr>
        <w:spacing w:after="0" w:line="240" w:lineRule="auto"/>
      </w:pPr>
      <w:r>
        <w:continuationSeparator/>
      </w:r>
    </w:p>
  </w:footnote>
  <w:footnote w:type="continuationNotice" w:id="1">
    <w:p w14:paraId="4254B6C2" w14:textId="77777777" w:rsidR="00615DF6" w:rsidRDefault="00615DF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2.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26</Pages>
  <Words>8338</Words>
  <Characters>43862</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4</cp:revision>
  <cp:lastPrinted>2025-07-09T17:51:00Z</cp:lastPrinted>
  <dcterms:created xsi:type="dcterms:W3CDTF">2025-10-31T16:57:00Z</dcterms:created>
  <dcterms:modified xsi:type="dcterms:W3CDTF">2026-06-17T17:22:00Z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