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60" w:line="264" w:lineRule="auto"/>
        <w:pBdr>
          <w:bottom w:val="single" w:sz="8" w:space="6" w:color="2E74B5"/>
        </w:pBdr>
      </w:pPr>
      <w:r>
        <w:rPr>
          <w:rFonts w:ascii="Calibri" w:hAnsi="Calibri"/>
          <w:b/>
          <w:i w:val="0"/>
          <w:color w:val="000000"/>
          <w:sz w:val="40"/>
        </w:rPr>
        <w:t>UPDATED CREDITWORTHINESS EVALUATION REPORT</w:t>
      </w:r>
    </w:p>
    <w:p>
      <w:pPr>
        <w:spacing w:before="0" w:after="240" w:line="264" w:lineRule="auto"/>
      </w:pPr>
      <w:r>
        <w:rPr>
          <w:rFonts w:ascii="Calibri" w:hAnsi="Calibri"/>
          <w:b w:val="0"/>
          <w:i w:val="0"/>
          <w:color w:val="5A5A5A"/>
          <w:sz w:val="26"/>
        </w:rPr>
        <w:t>Proposed Buyer Review for 320 Rose Pl / Rose Place</w:t>
      </w:r>
    </w:p>
    <w:tbl>
      <w:tblPr>
        <w:tblStyle w:val="TableGrid"/>
        <w:tblW w:type="auto" w:w="0"/>
        <w:jc w:val="left"/>
        <w:tblLayout w:type="fixed"/>
        <w:tblLook w:firstColumn="1" w:firstRow="1" w:lastColumn="0" w:lastRow="0" w:noHBand="0" w:noVBand="1" w:val="04A0"/>
        <w:tblW w:w="9360" w:type="dxa"/>
        <w:tblInd w:w="120" w:type="dxa"/>
      </w:tblPr>
      <w:tblGrid>
        <w:gridCol w:w="2300"/>
        <w:gridCol w:w="7060"/>
      </w:tblGrid>
      <w:tr>
        <w:tc>
          <w:tcPr>
            <w:tcW w:type="dxa" w:w="4680"/>
            <w:shd w:fill="F2F4F7"/>
            <w:tcW w:w="2300" w:type="dxa"/>
            <w:vAlign w:val="center"/>
            <w:tcMar>
              <w:top w:w="80" w:type="dxa"/>
              <w:bottom w:w="80" w:type="dxa"/>
              <w:start w:w="120" w:type="dxa"/>
              <w:end w:w="120" w:type="dxa"/>
            </w:tcMar>
          </w:tcPr>
          <w:p>
            <w:r>
              <w:rPr>
                <w:rFonts w:ascii="Calibri" w:hAnsi="Calibri"/>
                <w:b/>
                <w:i w:val="0"/>
                <w:color w:val="000000"/>
                <w:sz w:val="21"/>
              </w:rPr>
              <w:t>Prepared by</w:t>
            </w:r>
          </w:p>
        </w:tc>
        <w:tc>
          <w:tcPr>
            <w:tcW w:type="dxa" w:w="4680"/>
            <w:tcW w:w="7060" w:type="dxa"/>
            <w:vAlign w:val="center"/>
            <w:tcMar>
              <w:top w:w="80" w:type="dxa"/>
              <w:bottom w:w="80" w:type="dxa"/>
              <w:start w:w="120" w:type="dxa"/>
              <w:end w:w="120" w:type="dxa"/>
            </w:tcMar>
          </w:tcPr>
          <w:p>
            <w:r>
              <w:rPr>
                <w:rFonts w:ascii="Calibri" w:hAnsi="Calibri"/>
                <w:b w:val="0"/>
                <w:i w:val="0"/>
                <w:color w:val="000000"/>
                <w:sz w:val="21"/>
              </w:rPr>
              <w:t>Investment Services, LLC</w:t>
            </w:r>
          </w:p>
        </w:tc>
      </w:tr>
      <w:tr>
        <w:tc>
          <w:tcPr>
            <w:tcW w:type="dxa" w:w="4680"/>
            <w:shd w:fill="F2F4F7"/>
            <w:tcW w:w="2300" w:type="dxa"/>
            <w:vAlign w:val="center"/>
            <w:tcMar>
              <w:top w:w="80" w:type="dxa"/>
              <w:bottom w:w="80" w:type="dxa"/>
              <w:start w:w="120" w:type="dxa"/>
              <w:end w:w="120" w:type="dxa"/>
            </w:tcMar>
          </w:tcPr>
          <w:p>
            <w:r>
              <w:rPr>
                <w:rFonts w:ascii="Calibri" w:hAnsi="Calibri"/>
                <w:b/>
                <w:i w:val="0"/>
                <w:color w:val="000000"/>
                <w:sz w:val="21"/>
              </w:rPr>
              <w:t>Report date</w:t>
            </w:r>
          </w:p>
        </w:tc>
        <w:tc>
          <w:tcPr>
            <w:tcW w:type="dxa" w:w="4680"/>
            <w:tcW w:w="7060" w:type="dxa"/>
            <w:vAlign w:val="center"/>
            <w:tcMar>
              <w:top w:w="80" w:type="dxa"/>
              <w:bottom w:w="80" w:type="dxa"/>
              <w:start w:w="120" w:type="dxa"/>
              <w:end w:w="120" w:type="dxa"/>
            </w:tcMar>
          </w:tcPr>
          <w:p>
            <w:r>
              <w:rPr>
                <w:rFonts w:ascii="Calibri" w:hAnsi="Calibri"/>
                <w:b w:val="0"/>
                <w:i w:val="0"/>
                <w:color w:val="000000"/>
                <w:sz w:val="21"/>
              </w:rPr>
              <w:t>June 5, 2026</w:t>
            </w:r>
          </w:p>
        </w:tc>
      </w:tr>
      <w:tr>
        <w:tc>
          <w:tcPr>
            <w:tcW w:type="dxa" w:w="4680"/>
            <w:shd w:fill="F2F4F7"/>
            <w:tcW w:w="2300" w:type="dxa"/>
            <w:vAlign w:val="center"/>
            <w:tcMar>
              <w:top w:w="80" w:type="dxa"/>
              <w:bottom w:w="80" w:type="dxa"/>
              <w:start w:w="120" w:type="dxa"/>
              <w:end w:w="120" w:type="dxa"/>
            </w:tcMar>
          </w:tcPr>
          <w:p>
            <w:r>
              <w:rPr>
                <w:rFonts w:ascii="Calibri" w:hAnsi="Calibri"/>
                <w:b/>
                <w:i w:val="0"/>
                <w:color w:val="000000"/>
                <w:sz w:val="21"/>
              </w:rPr>
              <w:t>Subject buyer</w:t>
            </w:r>
          </w:p>
        </w:tc>
        <w:tc>
          <w:tcPr>
            <w:tcW w:type="dxa" w:w="4680"/>
            <w:tcW w:w="7060" w:type="dxa"/>
            <w:vAlign w:val="center"/>
            <w:tcMar>
              <w:top w:w="80" w:type="dxa"/>
              <w:bottom w:w="80" w:type="dxa"/>
              <w:start w:w="120" w:type="dxa"/>
              <w:end w:w="120" w:type="dxa"/>
            </w:tcMar>
          </w:tcPr>
          <w:p>
            <w:r>
              <w:rPr>
                <w:rFonts w:ascii="Calibri" w:hAnsi="Calibri"/>
                <w:b w:val="0"/>
                <w:i w:val="0"/>
                <w:color w:val="000000"/>
                <w:sz w:val="21"/>
              </w:rPr>
              <w:t>Ever Amarildo Cardoza; contract spelling still to be confirmed</w:t>
            </w:r>
          </w:p>
        </w:tc>
      </w:tr>
      <w:tr>
        <w:tc>
          <w:tcPr>
            <w:tcW w:type="dxa" w:w="4680"/>
            <w:shd w:fill="F2F4F7"/>
            <w:tcW w:w="2300" w:type="dxa"/>
            <w:vAlign w:val="center"/>
            <w:tcMar>
              <w:top w:w="80" w:type="dxa"/>
              <w:bottom w:w="80" w:type="dxa"/>
              <w:start w:w="120" w:type="dxa"/>
              <w:end w:w="120" w:type="dxa"/>
            </w:tcMar>
          </w:tcPr>
          <w:p>
            <w:r>
              <w:rPr>
                <w:rFonts w:ascii="Calibri" w:hAnsi="Calibri"/>
                <w:b/>
                <w:i w:val="0"/>
                <w:color w:val="000000"/>
                <w:sz w:val="21"/>
              </w:rPr>
              <w:t>Property</w:t>
            </w:r>
          </w:p>
        </w:tc>
        <w:tc>
          <w:tcPr>
            <w:tcW w:type="dxa" w:w="4680"/>
            <w:tcW w:w="7060" w:type="dxa"/>
            <w:vAlign w:val="center"/>
            <w:tcMar>
              <w:top w:w="80" w:type="dxa"/>
              <w:bottom w:w="80" w:type="dxa"/>
              <w:start w:w="120" w:type="dxa"/>
              <w:end w:w="120" w:type="dxa"/>
            </w:tcMar>
          </w:tcPr>
          <w:p>
            <w:r>
              <w:rPr>
                <w:rFonts w:ascii="Calibri" w:hAnsi="Calibri"/>
                <w:b w:val="0"/>
                <w:i w:val="0"/>
                <w:color w:val="000000"/>
                <w:sz w:val="21"/>
              </w:rPr>
              <w:t>320 Rose Pl / Rose Place</w:t>
            </w:r>
          </w:p>
        </w:tc>
      </w:tr>
      <w:tr>
        <w:tc>
          <w:tcPr>
            <w:tcW w:type="dxa" w:w="4680"/>
            <w:shd w:fill="F2F4F7"/>
            <w:tcW w:w="2300" w:type="dxa"/>
            <w:vAlign w:val="center"/>
            <w:tcMar>
              <w:top w:w="80" w:type="dxa"/>
              <w:bottom w:w="80" w:type="dxa"/>
              <w:start w:w="120" w:type="dxa"/>
              <w:end w:w="120" w:type="dxa"/>
            </w:tcMar>
          </w:tcPr>
          <w:p>
            <w:r>
              <w:rPr>
                <w:rFonts w:ascii="Calibri" w:hAnsi="Calibri"/>
                <w:b/>
                <w:i w:val="0"/>
                <w:color w:val="000000"/>
                <w:sz w:val="21"/>
              </w:rPr>
              <w:t>Purpose</w:t>
            </w:r>
          </w:p>
        </w:tc>
        <w:tc>
          <w:tcPr>
            <w:tcW w:type="dxa" w:w="4680"/>
            <w:tcW w:w="7060" w:type="dxa"/>
            <w:vAlign w:val="center"/>
            <w:tcMar>
              <w:top w:w="80" w:type="dxa"/>
              <w:bottom w:w="80" w:type="dxa"/>
              <w:start w:w="120" w:type="dxa"/>
              <w:end w:w="120" w:type="dxa"/>
            </w:tcMar>
          </w:tcPr>
          <w:p>
            <w:r>
              <w:rPr>
                <w:rFonts w:ascii="Calibri" w:hAnsi="Calibri"/>
                <w:b w:val="0"/>
                <w:i w:val="0"/>
                <w:color w:val="000000"/>
                <w:sz w:val="21"/>
              </w:rPr>
              <w:t>Rerun preliminary ability-to-repay and file-completeness review after new Ever documents</w:t>
            </w:r>
          </w:p>
        </w:tc>
      </w:tr>
      <w:tr>
        <w:tc>
          <w:tcPr>
            <w:tcW w:type="dxa" w:w="4680"/>
            <w:shd w:fill="F2F4F7"/>
            <w:tcW w:w="2300" w:type="dxa"/>
            <w:vAlign w:val="center"/>
            <w:tcMar>
              <w:top w:w="80" w:type="dxa"/>
              <w:bottom w:w="80" w:type="dxa"/>
              <w:start w:w="120" w:type="dxa"/>
              <w:end w:w="120" w:type="dxa"/>
            </w:tcMar>
          </w:tcPr>
          <w:p>
            <w:r>
              <w:rPr>
                <w:rFonts w:ascii="Calibri" w:hAnsi="Calibri"/>
                <w:b/>
                <w:i w:val="0"/>
                <w:color w:val="000000"/>
                <w:sz w:val="21"/>
              </w:rPr>
              <w:t>Overall result</w:t>
            </w:r>
          </w:p>
        </w:tc>
        <w:tc>
          <w:tcPr>
            <w:tcW w:type="dxa" w:w="4680"/>
            <w:tcW w:w="7060" w:type="dxa"/>
            <w:vAlign w:val="center"/>
            <w:tcMar>
              <w:top w:w="80" w:type="dxa"/>
              <w:bottom w:w="80" w:type="dxa"/>
              <w:start w:w="120" w:type="dxa"/>
              <w:end w:w="120" w:type="dxa"/>
            </w:tcMar>
          </w:tcPr>
          <w:p>
            <w:r>
              <w:rPr>
                <w:rFonts w:ascii="Calibri" w:hAnsi="Calibri"/>
                <w:b w:val="0"/>
                <w:i w:val="0"/>
                <w:color w:val="000000"/>
                <w:sz w:val="21"/>
              </w:rPr>
              <w:t>Do not approve from the current file; conditionally reconsider with verified net income and reserve proof</w:t>
            </w:r>
          </w:p>
        </w:tc>
      </w:tr>
    </w:tbl>
    <w:p>
      <w:pPr>
        <w:spacing w:before="0" w:after="40" w:line="264" w:lineRule="auto"/>
      </w:pPr>
    </w:p>
    <w:tbl>
      <w:tblPr>
        <w:tblStyle w:val="TableGrid"/>
        <w:tblW w:type="auto" w:w="0"/>
        <w:jc w:val="left"/>
        <w:tblLayout w:type="fixed"/>
        <w:tblLook w:firstColumn="1" w:firstRow="1" w:lastColumn="0" w:lastRow="0" w:noHBand="0" w:noVBand="1" w:val="04A0"/>
        <w:tblW w:w="9360" w:type="dxa"/>
        <w:tblInd w:w="120" w:type="dxa"/>
      </w:tblPr>
      <w:tblGrid>
        <w:gridCol w:w="9360"/>
      </w:tblGrid>
      <w:tr>
        <w:tc>
          <w:tcPr>
            <w:tcW w:type="dxa" w:w="9360"/>
            <w:shd w:fill="F8EAEA"/>
            <w:tcW w:w="9360" w:type="dxa"/>
            <w:vAlign w:val="center"/>
            <w:tcMar>
              <w:top w:w="80" w:type="dxa"/>
              <w:bottom w:w="80" w:type="dxa"/>
              <w:start w:w="120" w:type="dxa"/>
              <w:end w:w="120" w:type="dxa"/>
            </w:tcMar>
          </w:tcPr>
          <w:p>
            <w:r>
              <w:rPr>
                <w:rFonts w:ascii="Calibri" w:hAnsi="Calibri"/>
                <w:b/>
                <w:i w:val="0"/>
                <w:color w:val="9B1C1C"/>
                <w:sz w:val="22"/>
              </w:rPr>
              <w:t>Executive Recommendation</w:t>
            </w:r>
          </w:p>
          <w:p>
            <w:pPr>
              <w:spacing w:line="264" w:lineRule="auto"/>
            </w:pPr>
            <w:r>
              <w:rPr>
                <w:rFonts w:ascii="Calibri" w:hAnsi="Calibri"/>
                <w:b w:val="0"/>
                <w:i w:val="0"/>
                <w:color w:val="000000"/>
                <w:sz w:val="21"/>
              </w:rPr>
              <w:t>The new documents materially improve the file because they show active Matthew Flooring LLC business cash flow and timely rent history. Investment Services, LLC still recommends no approval from the current package because the file does not verify borrower-level net self-employment income, cash to close, or reserves.</w:t>
            </w:r>
          </w:p>
        </w:tc>
      </w:tr>
    </w:tbl>
    <w:p>
      <w:pPr>
        <w:spacing w:before="0" w:after="40" w:line="264" w:lineRule="auto"/>
      </w:pPr>
    </w:p>
    <w:p>
      <w:pPr>
        <w:pStyle w:val="Heading1"/>
        <w:keepNext/>
        <w:spacing w:before="320" w:after="160"/>
      </w:pPr>
      <w:r>
        <w:rPr>
          <w:rFonts w:ascii="Calibri" w:hAnsi="Calibri"/>
          <w:b/>
          <w:i w:val="0"/>
          <w:color w:val="2E74B5"/>
          <w:sz w:val="32"/>
        </w:rPr>
        <w:t>What Changed In This Rerun</w:t>
      </w:r>
    </w:p>
    <w:p>
      <w:pPr>
        <w:pStyle w:val="ListBullet"/>
        <w:spacing w:after="140" w:line="280" w:lineRule="auto"/>
        <w:ind w:left="720" w:hanging="360"/>
      </w:pPr>
      <w:r>
        <w:rPr>
          <w:rFonts w:ascii="Calibri" w:hAnsi="Calibri"/>
          <w:b w:val="0"/>
          <w:i w:val="0"/>
          <w:color w:val="000000"/>
          <w:sz w:val="22"/>
        </w:rPr>
        <w:t>New Matthew Flooring LLC business bank statements were reviewed from January 2025 through May 2026.</w:t>
      </w:r>
    </w:p>
    <w:p>
      <w:pPr>
        <w:pStyle w:val="ListBullet"/>
        <w:spacing w:after="140" w:line="280" w:lineRule="auto"/>
        <w:ind w:left="720" w:hanging="360"/>
      </w:pPr>
      <w:r>
        <w:rPr>
          <w:rFonts w:ascii="Calibri" w:hAnsi="Calibri"/>
          <w:b w:val="0"/>
          <w:i w:val="0"/>
          <w:color w:val="000000"/>
          <w:sz w:val="22"/>
        </w:rPr>
        <w:t>A Buy Your Home rent payment verification letter states Ever Cardoza rented 4121 Tensity Dr from July 2025 through June 2026 at $1,850/month and paid timely.</w:t>
      </w:r>
    </w:p>
    <w:p>
      <w:pPr>
        <w:pStyle w:val="ListBullet"/>
        <w:spacing w:after="140" w:line="280" w:lineRule="auto"/>
        <w:ind w:left="720" w:hanging="360"/>
      </w:pPr>
      <w:r>
        <w:rPr>
          <w:rFonts w:ascii="Calibri" w:hAnsi="Calibri"/>
          <w:b w:val="0"/>
          <w:i w:val="0"/>
          <w:color w:val="000000"/>
          <w:sz w:val="22"/>
        </w:rPr>
        <w:t>The new business statements support real business activity and gross revenue, but not net borrower income by themselves.</w:t>
      </w:r>
    </w:p>
    <w:p>
      <w:r>
        <w:br w:type="page"/>
      </w:r>
    </w:p>
    <w:p>
      <w:pPr>
        <w:pStyle w:val="Heading1"/>
        <w:keepNext/>
        <w:spacing w:before="320" w:after="160"/>
      </w:pPr>
      <w:r>
        <w:rPr>
          <w:rFonts w:ascii="Calibri" w:hAnsi="Calibri"/>
          <w:b/>
          <w:i w:val="0"/>
          <w:color w:val="2E74B5"/>
          <w:sz w:val="32"/>
        </w:rPr>
        <w:t>Transaction Snapshot</w:t>
      </w:r>
    </w:p>
    <w:tbl>
      <w:tblPr>
        <w:tblStyle w:val="TableGrid"/>
        <w:tblW w:type="auto" w:w="0"/>
        <w:jc w:val="left"/>
        <w:tblLayout w:type="fixed"/>
        <w:tblLook w:firstColumn="1" w:firstRow="1" w:lastColumn="0" w:lastRow="0" w:noHBand="0" w:noVBand="1" w:val="04A0"/>
        <w:tblW w:w="9360" w:type="dxa"/>
        <w:tblInd w:w="120" w:type="dxa"/>
      </w:tblPr>
      <w:tblGrid>
        <w:gridCol w:w="2300"/>
        <w:gridCol w:w="7060"/>
      </w:tblGrid>
      <w:tr>
        <w:tc>
          <w:tcPr>
            <w:tcW w:type="dxa" w:w="9360"/>
            <w:gridSpan w:val="2"/>
            <w:shd w:fill="F2F4F7"/>
            <w:tcW w:w="2300" w:type="dxa"/>
            <w:vAlign w:val="center"/>
            <w:tcMar>
              <w:top w:w="80" w:type="dxa"/>
              <w:bottom w:w="80" w:type="dxa"/>
              <w:start w:w="120" w:type="dxa"/>
              <w:end w:w="120" w:type="dxa"/>
            </w:tcMar>
            <w:tcW w:w="7060" w:type="dxa"/>
          </w:tcPr>
          <w:p>
            <w:r>
              <w:rPr>
                <w:rFonts w:ascii="Calibri" w:hAnsi="Calibri"/>
                <w:b/>
                <w:i w:val="0"/>
                <w:color w:val="000000"/>
                <w:sz w:val="21"/>
              </w:rPr>
              <w:t>Supported Transaction Facts</w:t>
            </w:r>
          </w:p>
        </w:tc>
      </w:tr>
      <w:tr>
        <w:tc>
          <w:tcPr>
            <w:tcW w:type="dxa" w:w="4680"/>
            <w:shd w:fill="F2F4F7"/>
            <w:tcW w:w="2300" w:type="dxa"/>
            <w:vAlign w:val="center"/>
            <w:tcMar>
              <w:top w:w="80" w:type="dxa"/>
              <w:bottom w:w="80" w:type="dxa"/>
              <w:start w:w="120" w:type="dxa"/>
              <w:end w:w="120" w:type="dxa"/>
            </w:tcMar>
          </w:tcPr>
          <w:p>
            <w:r>
              <w:rPr>
                <w:rFonts w:ascii="Calibri" w:hAnsi="Calibri"/>
                <w:b/>
                <w:i w:val="0"/>
                <w:color w:val="000000"/>
                <w:sz w:val="21"/>
              </w:rPr>
              <w:t>Purchase price</w:t>
            </w:r>
          </w:p>
        </w:tc>
        <w:tc>
          <w:tcPr>
            <w:tcW w:type="dxa" w:w="4680"/>
            <w:tcW w:w="7060" w:type="dxa"/>
            <w:vAlign w:val="center"/>
            <w:tcMar>
              <w:top w:w="80" w:type="dxa"/>
              <w:bottom w:w="80" w:type="dxa"/>
              <w:start w:w="120" w:type="dxa"/>
              <w:end w:w="120" w:type="dxa"/>
            </w:tcMar>
          </w:tcPr>
          <w:p>
            <w:r>
              <w:rPr>
                <w:rFonts w:ascii="Calibri" w:hAnsi="Calibri"/>
                <w:b w:val="0"/>
                <w:i w:val="0"/>
                <w:color w:val="000000"/>
                <w:sz w:val="21"/>
              </w:rPr>
              <w:t>$346,500 implied from a stated 6% down payment of $20,790.</w:t>
            </w:r>
          </w:p>
        </w:tc>
      </w:tr>
      <w:tr>
        <w:tc>
          <w:tcPr>
            <w:tcW w:type="dxa" w:w="4680"/>
            <w:shd w:fill="F2F4F7"/>
            <w:tcW w:w="2300" w:type="dxa"/>
            <w:vAlign w:val="center"/>
            <w:tcMar>
              <w:top w:w="80" w:type="dxa"/>
              <w:bottom w:w="80" w:type="dxa"/>
              <w:start w:w="120" w:type="dxa"/>
              <w:end w:w="120" w:type="dxa"/>
            </w:tcMar>
          </w:tcPr>
          <w:p>
            <w:r>
              <w:rPr>
                <w:rFonts w:ascii="Calibri" w:hAnsi="Calibri"/>
                <w:b/>
                <w:i w:val="0"/>
                <w:color w:val="000000"/>
                <w:sz w:val="21"/>
              </w:rPr>
              <w:t>Proposed monthly payment</w:t>
            </w:r>
          </w:p>
        </w:tc>
        <w:tc>
          <w:tcPr>
            <w:tcW w:type="dxa" w:w="4680"/>
            <w:tcW w:w="7060" w:type="dxa"/>
            <w:vAlign w:val="center"/>
            <w:tcMar>
              <w:top w:w="80" w:type="dxa"/>
              <w:bottom w:w="80" w:type="dxa"/>
              <w:start w:w="120" w:type="dxa"/>
              <w:end w:w="120" w:type="dxa"/>
            </w:tcMar>
          </w:tcPr>
          <w:p>
            <w:r>
              <w:rPr>
                <w:rFonts w:ascii="Calibri" w:hAnsi="Calibri"/>
                <w:b w:val="0"/>
                <w:i w:val="0"/>
                <w:color w:val="000000"/>
                <w:sz w:val="21"/>
              </w:rPr>
              <w:t>$2,701, described as including principal, interest, property taxes, and insurance escrow.</w:t>
            </w:r>
          </w:p>
        </w:tc>
      </w:tr>
      <w:tr>
        <w:tc>
          <w:tcPr>
            <w:tcW w:type="dxa" w:w="4680"/>
            <w:shd w:fill="F2F4F7"/>
            <w:tcW w:w="2300" w:type="dxa"/>
            <w:vAlign w:val="center"/>
            <w:tcMar>
              <w:top w:w="80" w:type="dxa"/>
              <w:bottom w:w="80" w:type="dxa"/>
              <w:start w:w="120" w:type="dxa"/>
              <w:end w:w="120" w:type="dxa"/>
            </w:tcMar>
          </w:tcPr>
          <w:p>
            <w:r>
              <w:rPr>
                <w:rFonts w:ascii="Calibri" w:hAnsi="Calibri"/>
                <w:b/>
                <w:i w:val="0"/>
                <w:color w:val="000000"/>
                <w:sz w:val="21"/>
              </w:rPr>
              <w:t>Earnest money</w:t>
            </w:r>
          </w:p>
        </w:tc>
        <w:tc>
          <w:tcPr>
            <w:tcW w:type="dxa" w:w="4680"/>
            <w:tcW w:w="7060" w:type="dxa"/>
            <w:vAlign w:val="center"/>
            <w:tcMar>
              <w:top w:w="80" w:type="dxa"/>
              <w:bottom w:w="80" w:type="dxa"/>
              <w:start w:w="120" w:type="dxa"/>
              <w:end w:w="120" w:type="dxa"/>
            </w:tcMar>
          </w:tcPr>
          <w:p>
            <w:r>
              <w:rPr>
                <w:rFonts w:ascii="Calibri" w:hAnsi="Calibri"/>
                <w:b w:val="0"/>
                <w:i w:val="0"/>
                <w:color w:val="000000"/>
                <w:sz w:val="21"/>
              </w:rPr>
              <w:t>$6,000 due at contract signing, with remaining down payment due at attorney closing.</w:t>
            </w:r>
          </w:p>
        </w:tc>
      </w:tr>
      <w:tr>
        <w:tc>
          <w:tcPr>
            <w:tcW w:type="dxa" w:w="4680"/>
            <w:shd w:fill="F2F4F7"/>
            <w:tcW w:w="2300" w:type="dxa"/>
            <w:vAlign w:val="center"/>
            <w:tcMar>
              <w:top w:w="80" w:type="dxa"/>
              <w:bottom w:w="80" w:type="dxa"/>
              <w:start w:w="120" w:type="dxa"/>
              <w:end w:w="120" w:type="dxa"/>
            </w:tcMar>
          </w:tcPr>
          <w:p>
            <w:r>
              <w:rPr>
                <w:rFonts w:ascii="Calibri" w:hAnsi="Calibri"/>
                <w:b/>
                <w:i w:val="0"/>
                <w:color w:val="000000"/>
                <w:sz w:val="21"/>
              </w:rPr>
              <w:t>Rent history</w:t>
            </w:r>
          </w:p>
        </w:tc>
        <w:tc>
          <w:tcPr>
            <w:tcW w:type="dxa" w:w="4680"/>
            <w:tcW w:w="7060" w:type="dxa"/>
            <w:vAlign w:val="center"/>
            <w:tcMar>
              <w:top w:w="80" w:type="dxa"/>
              <w:bottom w:w="80" w:type="dxa"/>
              <w:start w:w="120" w:type="dxa"/>
              <w:end w:w="120" w:type="dxa"/>
            </w:tcMar>
          </w:tcPr>
          <w:p>
            <w:r>
              <w:rPr>
                <w:rFonts w:ascii="Calibri" w:hAnsi="Calibri"/>
                <w:b w:val="0"/>
                <w:i w:val="0"/>
                <w:color w:val="000000"/>
                <w:sz w:val="21"/>
              </w:rPr>
              <w:t>Buy Your Home letter states $1,850/month rent from July 2025 through June 2026 and timely payments.</w:t>
            </w:r>
          </w:p>
        </w:tc>
      </w:tr>
      <w:tr>
        <w:tc>
          <w:tcPr>
            <w:tcW w:type="dxa" w:w="4680"/>
            <w:shd w:fill="F2F4F7"/>
            <w:tcW w:w="2300" w:type="dxa"/>
            <w:vAlign w:val="center"/>
            <w:tcMar>
              <w:top w:w="80" w:type="dxa"/>
              <w:bottom w:w="80" w:type="dxa"/>
              <w:start w:w="120" w:type="dxa"/>
              <w:end w:w="120" w:type="dxa"/>
            </w:tcMar>
          </w:tcPr>
          <w:p>
            <w:r>
              <w:rPr>
                <w:rFonts w:ascii="Calibri" w:hAnsi="Calibri"/>
                <w:b/>
                <w:i w:val="0"/>
                <w:color w:val="000000"/>
                <w:sz w:val="21"/>
              </w:rPr>
              <w:t>Current rent in Zillow application</w:t>
            </w:r>
          </w:p>
        </w:tc>
        <w:tc>
          <w:tcPr>
            <w:tcW w:type="dxa" w:w="4680"/>
            <w:tcW w:w="7060" w:type="dxa"/>
            <w:vAlign w:val="center"/>
            <w:tcMar>
              <w:top w:w="80" w:type="dxa"/>
              <w:bottom w:w="80" w:type="dxa"/>
              <w:start w:w="120" w:type="dxa"/>
              <w:end w:w="120" w:type="dxa"/>
            </w:tcMar>
          </w:tcPr>
          <w:p>
            <w:r>
              <w:rPr>
                <w:rFonts w:ascii="Calibri" w:hAnsi="Calibri"/>
                <w:b w:val="0"/>
                <w:i w:val="0"/>
                <w:color w:val="000000"/>
                <w:sz w:val="21"/>
              </w:rPr>
              <w:t>$1,885/month shown in applicant details.</w:t>
            </w:r>
          </w:p>
        </w:tc>
      </w:tr>
      <w:tr>
        <w:tc>
          <w:tcPr>
            <w:tcW w:type="dxa" w:w="4680"/>
            <w:shd w:fill="F2F4F7"/>
            <w:tcW w:w="2300" w:type="dxa"/>
            <w:vAlign w:val="center"/>
            <w:tcMar>
              <w:top w:w="80" w:type="dxa"/>
              <w:bottom w:w="80" w:type="dxa"/>
              <w:start w:w="120" w:type="dxa"/>
              <w:end w:w="120" w:type="dxa"/>
            </w:tcMar>
          </w:tcPr>
          <w:p>
            <w:r>
              <w:rPr>
                <w:rFonts w:ascii="Calibri" w:hAnsi="Calibri"/>
                <w:b/>
                <w:i w:val="0"/>
                <w:color w:val="000000"/>
                <w:sz w:val="21"/>
              </w:rPr>
              <w:t>Structure still unresolved</w:t>
            </w:r>
          </w:p>
        </w:tc>
        <w:tc>
          <w:tcPr>
            <w:tcW w:type="dxa" w:w="4680"/>
            <w:tcW w:w="7060" w:type="dxa"/>
            <w:vAlign w:val="center"/>
            <w:tcMar>
              <w:top w:w="80" w:type="dxa"/>
              <w:bottom w:w="80" w:type="dxa"/>
              <w:start w:w="120" w:type="dxa"/>
              <w:end w:w="120" w:type="dxa"/>
            </w:tcMar>
          </w:tcPr>
          <w:p>
            <w:r>
              <w:rPr>
                <w:rFonts w:ascii="Calibri" w:hAnsi="Calibri"/>
                <w:b w:val="0"/>
                <w:i w:val="0"/>
                <w:color w:val="000000"/>
                <w:sz w:val="21"/>
              </w:rPr>
              <w:t>Meeting materials use mixed language about note/mortgage-style financing and deed-transfer-after-payoff structure.</w:t>
            </w:r>
          </w:p>
        </w:tc>
      </w:tr>
    </w:tbl>
    <w:p>
      <w:pPr>
        <w:spacing w:before="0" w:after="40" w:line="264" w:lineRule="auto"/>
      </w:pPr>
    </w:p>
    <w:p>
      <w:pPr>
        <w:pStyle w:val="Heading1"/>
        <w:keepNext/>
        <w:spacing w:before="320" w:after="160"/>
      </w:pPr>
      <w:r>
        <w:rPr>
          <w:rFonts w:ascii="Calibri" w:hAnsi="Calibri"/>
          <w:b/>
          <w:i w:val="0"/>
          <w:color w:val="2E74B5"/>
          <w:sz w:val="32"/>
        </w:rPr>
        <w:t>Screening Strengths</w:t>
      </w:r>
    </w:p>
    <w:p>
      <w:pPr>
        <w:pStyle w:val="ListBullet"/>
        <w:spacing w:after="140" w:line="280" w:lineRule="auto"/>
        <w:ind w:left="720" w:hanging="360"/>
      </w:pPr>
      <w:r>
        <w:rPr>
          <w:rFonts w:ascii="Calibri" w:hAnsi="Calibri"/>
          <w:b w:val="0"/>
          <w:i w:val="0"/>
          <w:color w:val="000000"/>
          <w:sz w:val="22"/>
        </w:rPr>
        <w:t>Identity is marked verified in the applicant details.</w:t>
      </w:r>
    </w:p>
    <w:p>
      <w:pPr>
        <w:pStyle w:val="ListBullet"/>
        <w:spacing w:after="140" w:line="280" w:lineRule="auto"/>
        <w:ind w:left="720" w:hanging="360"/>
      </w:pPr>
      <w:r>
        <w:rPr>
          <w:rFonts w:ascii="Calibri" w:hAnsi="Calibri"/>
          <w:b w:val="0"/>
          <w:i w:val="0"/>
          <w:color w:val="000000"/>
          <w:sz w:val="22"/>
        </w:rPr>
        <w:t>Credit report shows a 706 VantageScore 4.0 score.</w:t>
      </w:r>
    </w:p>
    <w:p>
      <w:pPr>
        <w:pStyle w:val="ListBullet"/>
        <w:spacing w:after="140" w:line="280" w:lineRule="auto"/>
        <w:ind w:left="720" w:hanging="360"/>
      </w:pPr>
      <w:r>
        <w:rPr>
          <w:rFonts w:ascii="Calibri" w:hAnsi="Calibri"/>
          <w:b w:val="0"/>
          <w:i w:val="0"/>
          <w:color w:val="000000"/>
          <w:sz w:val="22"/>
        </w:rPr>
        <w:t>Credit report shows 100% on-time payments, no collections, no delinquent or derogatory account, and no bankruptcies found.</w:t>
      </w:r>
    </w:p>
    <w:p>
      <w:pPr>
        <w:pStyle w:val="ListBullet"/>
        <w:spacing w:after="140" w:line="280" w:lineRule="auto"/>
        <w:ind w:left="720" w:hanging="360"/>
      </w:pPr>
      <w:r>
        <w:rPr>
          <w:rFonts w:ascii="Calibri" w:hAnsi="Calibri"/>
          <w:b w:val="0"/>
          <w:i w:val="0"/>
          <w:color w:val="000000"/>
          <w:sz w:val="22"/>
        </w:rPr>
        <w:t>Background check reports no housing court records and no criminal records.</w:t>
      </w:r>
    </w:p>
    <w:p>
      <w:pPr>
        <w:pStyle w:val="ListBullet"/>
        <w:spacing w:after="140" w:line="280" w:lineRule="auto"/>
        <w:ind w:left="720" w:hanging="360"/>
      </w:pPr>
      <w:r>
        <w:rPr>
          <w:rFonts w:ascii="Calibri" w:hAnsi="Calibri"/>
          <w:b w:val="0"/>
          <w:i w:val="0"/>
          <w:color w:val="000000"/>
          <w:sz w:val="22"/>
        </w:rPr>
        <w:t>Rent verification letter supports timely rent payments during the tenancy.</w:t>
      </w:r>
    </w:p>
    <w:p>
      <w:pPr>
        <w:pStyle w:val="Heading1"/>
        <w:keepNext/>
        <w:spacing w:before="320" w:after="160"/>
      </w:pPr>
      <w:r>
        <w:rPr>
          <w:rFonts w:ascii="Calibri" w:hAnsi="Calibri"/>
          <w:b/>
          <w:i w:val="0"/>
          <w:color w:val="2E74B5"/>
          <w:sz w:val="32"/>
        </w:rPr>
        <w:t>Ability-To-Repay Findings</w:t>
      </w:r>
    </w:p>
    <w:p>
      <w:pPr>
        <w:pStyle w:val="Heading2"/>
        <w:keepNext/>
        <w:spacing w:before="200" w:after="100"/>
      </w:pPr>
      <w:r>
        <w:rPr>
          <w:rFonts w:ascii="Calibri" w:hAnsi="Calibri"/>
          <w:b/>
          <w:i w:val="0"/>
          <w:color w:val="2E74B5"/>
          <w:sz w:val="26"/>
        </w:rPr>
        <w:t>Income And Business Cash Flow</w:t>
      </w:r>
    </w:p>
    <w:p>
      <w:pPr>
        <w:spacing w:before="0" w:after="120" w:line="264" w:lineRule="auto"/>
      </w:pPr>
      <w:r>
        <w:rPr>
          <w:rFonts w:ascii="Calibri" w:hAnsi="Calibri"/>
          <w:b w:val="0"/>
          <w:i w:val="0"/>
          <w:color w:val="000000"/>
          <w:sz w:val="22"/>
        </w:rPr>
        <w:t>Applicant details state self-employment income of $9,500/month. The new Matthew Flooring LLC business statements now support active business cash flow, but they do not verify personal net income without tax returns, a profit-and-loss statement, ownership/compensation records, and owner-draw analysis.</w:t>
      </w:r>
    </w:p>
    <w:p>
      <w:r>
        <w:br w:type="page"/>
      </w:r>
    </w:p>
    <w:tbl>
      <w:tblPr>
        <w:tblStyle w:val="TableGrid"/>
        <w:tblW w:type="auto" w:w="0"/>
        <w:jc w:val="left"/>
        <w:tblLayout w:type="fixed"/>
        <w:tblLook w:firstColumn="1" w:firstRow="1" w:lastColumn="0" w:lastRow="0" w:noHBand="0" w:noVBand="1" w:val="04A0"/>
        <w:tblW w:w="9360" w:type="dxa"/>
        <w:tblInd w:w="120" w:type="dxa"/>
      </w:tblPr>
      <w:tblGrid>
        <w:gridCol w:w="2300"/>
        <w:gridCol w:w="7060"/>
      </w:tblGrid>
      <w:tr>
        <w:tc>
          <w:tcPr>
            <w:tcW w:type="dxa" w:w="9360"/>
            <w:gridSpan w:val="2"/>
            <w:shd w:fill="F2F4F7"/>
            <w:tcW w:w="2300" w:type="dxa"/>
            <w:vAlign w:val="center"/>
            <w:tcMar>
              <w:top w:w="80" w:type="dxa"/>
              <w:bottom w:w="80" w:type="dxa"/>
              <w:start w:w="120" w:type="dxa"/>
              <w:end w:w="120" w:type="dxa"/>
            </w:tcMar>
            <w:tcW w:w="7060" w:type="dxa"/>
          </w:tcPr>
          <w:p>
            <w:r>
              <w:rPr>
                <w:rFonts w:ascii="Calibri" w:hAnsi="Calibri"/>
                <w:b/>
                <w:i w:val="0"/>
                <w:color w:val="000000"/>
                <w:sz w:val="21"/>
              </w:rPr>
              <w:t>Business Statement Summary</w:t>
            </w:r>
          </w:p>
        </w:tc>
      </w:tr>
      <w:tr>
        <w:tc>
          <w:tcPr>
            <w:tcW w:type="dxa" w:w="4680"/>
            <w:shd w:fill="F2F4F7"/>
            <w:tcW w:w="2300" w:type="dxa"/>
            <w:vAlign w:val="center"/>
            <w:tcMar>
              <w:top w:w="80" w:type="dxa"/>
              <w:bottom w:w="80" w:type="dxa"/>
              <w:start w:w="120" w:type="dxa"/>
              <w:end w:w="120" w:type="dxa"/>
            </w:tcMar>
          </w:tcPr>
          <w:p>
            <w:r>
              <w:rPr>
                <w:rFonts w:ascii="Calibri" w:hAnsi="Calibri"/>
                <w:b/>
                <w:i w:val="0"/>
                <w:color w:val="000000"/>
                <w:sz w:val="21"/>
              </w:rPr>
              <w:t>Unique business statements reviewed</w:t>
            </w:r>
          </w:p>
        </w:tc>
        <w:tc>
          <w:tcPr>
            <w:tcW w:type="dxa" w:w="4680"/>
            <w:tcW w:w="7060" w:type="dxa"/>
            <w:vAlign w:val="center"/>
            <w:tcMar>
              <w:top w:w="80" w:type="dxa"/>
              <w:bottom w:w="80" w:type="dxa"/>
              <w:start w:w="120" w:type="dxa"/>
              <w:end w:w="120" w:type="dxa"/>
            </w:tcMar>
          </w:tcPr>
          <w:p>
            <w:r>
              <w:rPr>
                <w:rFonts w:ascii="Calibri" w:hAnsi="Calibri"/>
                <w:b w:val="0"/>
                <w:i w:val="0"/>
                <w:color w:val="000000"/>
                <w:sz w:val="21"/>
              </w:rPr>
              <w:t>16 unique statements; one August/September 2025 business statement appears duplicated or mislabeled.</w:t>
            </w:r>
          </w:p>
        </w:tc>
      </w:tr>
      <w:tr>
        <w:tc>
          <w:tcPr>
            <w:tcW w:type="dxa" w:w="4680"/>
            <w:shd w:fill="F2F4F7"/>
            <w:tcW w:w="2300" w:type="dxa"/>
            <w:vAlign w:val="center"/>
            <w:tcMar>
              <w:top w:w="80" w:type="dxa"/>
              <w:bottom w:w="80" w:type="dxa"/>
              <w:start w:w="120" w:type="dxa"/>
              <w:end w:w="120" w:type="dxa"/>
            </w:tcMar>
          </w:tcPr>
          <w:p>
            <w:r>
              <w:rPr>
                <w:rFonts w:ascii="Calibri" w:hAnsi="Calibri"/>
                <w:b/>
                <w:i w:val="0"/>
                <w:color w:val="000000"/>
                <w:sz w:val="21"/>
              </w:rPr>
              <w:t>Business deposits/credits</w:t>
            </w:r>
          </w:p>
        </w:tc>
        <w:tc>
          <w:tcPr>
            <w:tcW w:type="dxa" w:w="4680"/>
            <w:tcW w:w="7060" w:type="dxa"/>
            <w:vAlign w:val="center"/>
            <w:tcMar>
              <w:top w:w="80" w:type="dxa"/>
              <w:bottom w:w="80" w:type="dxa"/>
              <w:start w:w="120" w:type="dxa"/>
              <w:end w:w="120" w:type="dxa"/>
            </w:tcMar>
          </w:tcPr>
          <w:p>
            <w:r>
              <w:rPr>
                <w:rFonts w:ascii="Calibri" w:hAnsi="Calibri"/>
                <w:b w:val="0"/>
                <w:i w:val="0"/>
                <w:color w:val="000000"/>
                <w:sz w:val="21"/>
              </w:rPr>
              <w:t>$434,462.90 total; $27,153.93 average per month.</w:t>
            </w:r>
          </w:p>
        </w:tc>
      </w:tr>
      <w:tr>
        <w:tc>
          <w:tcPr>
            <w:tcW w:type="dxa" w:w="4680"/>
            <w:shd w:fill="F2F4F7"/>
            <w:tcW w:w="2300" w:type="dxa"/>
            <w:vAlign w:val="center"/>
            <w:tcMar>
              <w:top w:w="80" w:type="dxa"/>
              <w:bottom w:w="80" w:type="dxa"/>
              <w:start w:w="120" w:type="dxa"/>
              <w:end w:w="120" w:type="dxa"/>
            </w:tcMar>
          </w:tcPr>
          <w:p>
            <w:r>
              <w:rPr>
                <w:rFonts w:ascii="Calibri" w:hAnsi="Calibri"/>
                <w:b/>
                <w:i w:val="0"/>
                <w:color w:val="000000"/>
                <w:sz w:val="21"/>
              </w:rPr>
              <w:t>Business withdrawals/debits</w:t>
            </w:r>
          </w:p>
        </w:tc>
        <w:tc>
          <w:tcPr>
            <w:tcW w:type="dxa" w:w="4680"/>
            <w:tcW w:w="7060" w:type="dxa"/>
            <w:vAlign w:val="center"/>
            <w:tcMar>
              <w:top w:w="80" w:type="dxa"/>
              <w:bottom w:w="80" w:type="dxa"/>
              <w:start w:w="120" w:type="dxa"/>
              <w:end w:w="120" w:type="dxa"/>
            </w:tcMar>
          </w:tcPr>
          <w:p>
            <w:r>
              <w:rPr>
                <w:rFonts w:ascii="Calibri" w:hAnsi="Calibri"/>
                <w:b w:val="0"/>
                <w:i w:val="0"/>
                <w:color w:val="000000"/>
                <w:sz w:val="21"/>
              </w:rPr>
              <w:t>$433,300.52 total; $27,081.28 average per month.</w:t>
            </w:r>
          </w:p>
        </w:tc>
      </w:tr>
      <w:tr>
        <w:tc>
          <w:tcPr>
            <w:tcW w:type="dxa" w:w="4680"/>
            <w:shd w:fill="F2F4F7"/>
            <w:tcW w:w="2300" w:type="dxa"/>
            <w:vAlign w:val="center"/>
            <w:tcMar>
              <w:top w:w="80" w:type="dxa"/>
              <w:bottom w:w="80" w:type="dxa"/>
              <w:start w:w="120" w:type="dxa"/>
              <w:end w:w="120" w:type="dxa"/>
            </w:tcMar>
          </w:tcPr>
          <w:p>
            <w:r>
              <w:rPr>
                <w:rFonts w:ascii="Calibri" w:hAnsi="Calibri"/>
                <w:b/>
                <w:i w:val="0"/>
                <w:color w:val="000000"/>
                <w:sz w:val="21"/>
              </w:rPr>
              <w:t>Average monthly net account increase</w:t>
            </w:r>
          </w:p>
        </w:tc>
        <w:tc>
          <w:tcPr>
            <w:tcW w:type="dxa" w:w="4680"/>
            <w:tcW w:w="7060" w:type="dxa"/>
            <w:vAlign w:val="center"/>
            <w:tcMar>
              <w:top w:w="80" w:type="dxa"/>
              <w:bottom w:w="80" w:type="dxa"/>
              <w:start w:w="120" w:type="dxa"/>
              <w:end w:w="120" w:type="dxa"/>
            </w:tcMar>
          </w:tcPr>
          <w:p>
            <w:r>
              <w:rPr>
                <w:rFonts w:ascii="Calibri" w:hAnsi="Calibri"/>
                <w:b w:val="0"/>
                <w:i w:val="0"/>
                <w:color w:val="000000"/>
                <w:sz w:val="21"/>
              </w:rPr>
              <w:t>$72.65 across the unique business statement set.</w:t>
            </w:r>
          </w:p>
        </w:tc>
      </w:tr>
      <w:tr>
        <w:tc>
          <w:tcPr>
            <w:tcW w:type="dxa" w:w="4680"/>
            <w:shd w:fill="F2F4F7"/>
            <w:tcW w:w="2300" w:type="dxa"/>
            <w:vAlign w:val="center"/>
            <w:tcMar>
              <w:top w:w="80" w:type="dxa"/>
              <w:bottom w:w="80" w:type="dxa"/>
              <w:start w:w="120" w:type="dxa"/>
              <w:end w:w="120" w:type="dxa"/>
            </w:tcMar>
          </w:tcPr>
          <w:p>
            <w:r>
              <w:rPr>
                <w:rFonts w:ascii="Calibri" w:hAnsi="Calibri"/>
                <w:b/>
                <w:i w:val="0"/>
                <w:color w:val="000000"/>
                <w:sz w:val="21"/>
              </w:rPr>
              <w:t>2026 business average deposits</w:t>
            </w:r>
          </w:p>
        </w:tc>
        <w:tc>
          <w:tcPr>
            <w:tcW w:type="dxa" w:w="4680"/>
            <w:tcW w:w="7060" w:type="dxa"/>
            <w:vAlign w:val="center"/>
            <w:tcMar>
              <w:top w:w="80" w:type="dxa"/>
              <w:bottom w:w="80" w:type="dxa"/>
              <w:start w:w="120" w:type="dxa"/>
              <w:end w:w="120" w:type="dxa"/>
            </w:tcMar>
          </w:tcPr>
          <w:p>
            <w:r>
              <w:rPr>
                <w:rFonts w:ascii="Calibri" w:hAnsi="Calibri"/>
                <w:b w:val="0"/>
                <w:i w:val="0"/>
                <w:color w:val="000000"/>
                <w:sz w:val="21"/>
              </w:rPr>
              <w:t>$24,631.93/month from January through May 2026.</w:t>
            </w:r>
          </w:p>
        </w:tc>
      </w:tr>
      <w:tr>
        <w:tc>
          <w:tcPr>
            <w:tcW w:type="dxa" w:w="4680"/>
            <w:shd w:fill="F2F4F7"/>
            <w:tcW w:w="2300" w:type="dxa"/>
            <w:vAlign w:val="center"/>
            <w:tcMar>
              <w:top w:w="80" w:type="dxa"/>
              <w:bottom w:w="80" w:type="dxa"/>
              <w:start w:w="120" w:type="dxa"/>
              <w:end w:w="120" w:type="dxa"/>
            </w:tcMar>
          </w:tcPr>
          <w:p>
            <w:r>
              <w:rPr>
                <w:rFonts w:ascii="Calibri" w:hAnsi="Calibri"/>
                <w:b/>
                <w:i w:val="0"/>
                <w:color w:val="000000"/>
                <w:sz w:val="21"/>
              </w:rPr>
              <w:t>2026 business average net increase</w:t>
            </w:r>
          </w:p>
        </w:tc>
        <w:tc>
          <w:tcPr>
            <w:tcW w:type="dxa" w:w="4680"/>
            <w:tcW w:w="7060" w:type="dxa"/>
            <w:vAlign w:val="center"/>
            <w:tcMar>
              <w:top w:w="80" w:type="dxa"/>
              <w:bottom w:w="80" w:type="dxa"/>
              <w:start w:w="120" w:type="dxa"/>
              <w:end w:w="120" w:type="dxa"/>
            </w:tcMar>
          </w:tcPr>
          <w:p>
            <w:r>
              <w:rPr>
                <w:rFonts w:ascii="Calibri" w:hAnsi="Calibri"/>
                <w:b w:val="0"/>
                <w:i w:val="0"/>
                <w:color w:val="000000"/>
                <w:sz w:val="21"/>
              </w:rPr>
              <w:t>$528.82/month from January through May 2026.</w:t>
            </w:r>
          </w:p>
        </w:tc>
      </w:tr>
      <w:tr>
        <w:tc>
          <w:tcPr>
            <w:tcW w:type="dxa" w:w="4680"/>
            <w:shd w:fill="F2F4F7"/>
            <w:tcW w:w="2300" w:type="dxa"/>
            <w:vAlign w:val="center"/>
            <w:tcMar>
              <w:top w:w="80" w:type="dxa"/>
              <w:bottom w:w="80" w:type="dxa"/>
              <w:start w:w="120" w:type="dxa"/>
              <w:end w:w="120" w:type="dxa"/>
            </w:tcMar>
          </w:tcPr>
          <w:p>
            <w:r>
              <w:rPr>
                <w:rFonts w:ascii="Calibri" w:hAnsi="Calibri"/>
                <w:b/>
                <w:i w:val="0"/>
                <w:color w:val="000000"/>
                <w:sz w:val="21"/>
              </w:rPr>
              <w:t>Latest business ending balance</w:t>
            </w:r>
          </w:p>
        </w:tc>
        <w:tc>
          <w:tcPr>
            <w:tcW w:type="dxa" w:w="4680"/>
            <w:tcW w:w="7060" w:type="dxa"/>
            <w:vAlign w:val="center"/>
            <w:tcMar>
              <w:top w:w="80" w:type="dxa"/>
              <w:bottom w:w="80" w:type="dxa"/>
              <w:start w:w="120" w:type="dxa"/>
              <w:end w:w="120" w:type="dxa"/>
            </w:tcMar>
          </w:tcPr>
          <w:p>
            <w:r>
              <w:rPr>
                <w:rFonts w:ascii="Calibri" w:hAnsi="Calibri"/>
                <w:b w:val="0"/>
                <w:i w:val="0"/>
                <w:color w:val="000000"/>
                <w:sz w:val="21"/>
              </w:rPr>
              <w:t>$5,058.11 on the May 31, 2026 statement.</w:t>
            </w:r>
          </w:p>
        </w:tc>
      </w:tr>
    </w:tbl>
    <w:p>
      <w:pPr>
        <w:spacing w:before="0" w:after="40" w:line="264" w:lineRule="auto"/>
      </w:pPr>
    </w:p>
    <w:p>
      <w:pPr>
        <w:pStyle w:val="Heading2"/>
        <w:keepNext/>
        <w:spacing w:before="200" w:after="100"/>
      </w:pPr>
      <w:r>
        <w:rPr>
          <w:rFonts w:ascii="Calibri" w:hAnsi="Calibri"/>
          <w:b/>
          <w:i w:val="0"/>
          <w:color w:val="2E74B5"/>
          <w:sz w:val="26"/>
        </w:rPr>
        <w:t>Debt Burden</w:t>
      </w:r>
    </w:p>
    <w:tbl>
      <w:tblPr>
        <w:tblStyle w:val="TableGrid"/>
        <w:tblW w:type="auto" w:w="0"/>
        <w:jc w:val="left"/>
        <w:tblLayout w:type="fixed"/>
        <w:tblLook w:firstColumn="1" w:firstRow="1" w:lastColumn="0" w:lastRow="0" w:noHBand="0" w:noVBand="1" w:val="04A0"/>
        <w:tblW w:w="9360" w:type="dxa"/>
        <w:tblInd w:w="120" w:type="dxa"/>
      </w:tblPr>
      <w:tblGrid>
        <w:gridCol w:w="2300"/>
        <w:gridCol w:w="7060"/>
      </w:tblGrid>
      <w:tr>
        <w:tc>
          <w:tcPr>
            <w:tcW w:type="dxa" w:w="9360"/>
            <w:gridSpan w:val="2"/>
            <w:shd w:fill="F2F4F7"/>
            <w:tcW w:w="2300" w:type="dxa"/>
            <w:vAlign w:val="center"/>
            <w:tcMar>
              <w:top w:w="80" w:type="dxa"/>
              <w:bottom w:w="80" w:type="dxa"/>
              <w:start w:w="120" w:type="dxa"/>
              <w:end w:w="120" w:type="dxa"/>
            </w:tcMar>
            <w:tcW w:w="7060" w:type="dxa"/>
          </w:tcPr>
          <w:p>
            <w:r>
              <w:rPr>
                <w:rFonts w:ascii="Calibri" w:hAnsi="Calibri"/>
                <w:b/>
                <w:i w:val="0"/>
                <w:color w:val="000000"/>
                <w:sz w:val="21"/>
              </w:rPr>
              <w:t>Credit Report Debt Summary</w:t>
            </w:r>
          </w:p>
        </w:tc>
      </w:tr>
      <w:tr>
        <w:tc>
          <w:tcPr>
            <w:tcW w:type="dxa" w:w="4680"/>
            <w:shd w:fill="F2F4F7"/>
            <w:tcW w:w="2300" w:type="dxa"/>
            <w:vAlign w:val="center"/>
            <w:tcMar>
              <w:top w:w="80" w:type="dxa"/>
              <w:bottom w:w="80" w:type="dxa"/>
              <w:start w:w="120" w:type="dxa"/>
              <w:end w:w="120" w:type="dxa"/>
            </w:tcMar>
          </w:tcPr>
          <w:p>
            <w:r>
              <w:rPr>
                <w:rFonts w:ascii="Calibri" w:hAnsi="Calibri"/>
                <w:b/>
                <w:i w:val="0"/>
                <w:color w:val="000000"/>
                <w:sz w:val="21"/>
              </w:rPr>
              <w:t>Estimated monthly debt payments</w:t>
            </w:r>
          </w:p>
        </w:tc>
        <w:tc>
          <w:tcPr>
            <w:tcW w:type="dxa" w:w="4680"/>
            <w:tcW w:w="7060" w:type="dxa"/>
            <w:vAlign w:val="center"/>
            <w:tcMar>
              <w:top w:w="80" w:type="dxa"/>
              <w:bottom w:w="80" w:type="dxa"/>
              <w:start w:w="120" w:type="dxa"/>
              <w:end w:w="120" w:type="dxa"/>
            </w:tcMar>
          </w:tcPr>
          <w:p>
            <w:r>
              <w:rPr>
                <w:rFonts w:ascii="Calibri" w:hAnsi="Calibri"/>
                <w:b w:val="0"/>
                <w:i w:val="0"/>
                <w:color w:val="000000"/>
                <w:sz w:val="21"/>
              </w:rPr>
              <w:t>$2,162</w:t>
            </w:r>
          </w:p>
        </w:tc>
      </w:tr>
      <w:tr>
        <w:tc>
          <w:tcPr>
            <w:tcW w:type="dxa" w:w="4680"/>
            <w:shd w:fill="F2F4F7"/>
            <w:tcW w:w="2300" w:type="dxa"/>
            <w:vAlign w:val="center"/>
            <w:tcMar>
              <w:top w:w="80" w:type="dxa"/>
              <w:bottom w:w="80" w:type="dxa"/>
              <w:start w:w="120" w:type="dxa"/>
              <w:end w:w="120" w:type="dxa"/>
            </w:tcMar>
          </w:tcPr>
          <w:p>
            <w:r>
              <w:rPr>
                <w:rFonts w:ascii="Calibri" w:hAnsi="Calibri"/>
                <w:b/>
                <w:i w:val="0"/>
                <w:color w:val="000000"/>
                <w:sz w:val="21"/>
              </w:rPr>
              <w:t>Total debt</w:t>
            </w:r>
          </w:p>
        </w:tc>
        <w:tc>
          <w:tcPr>
            <w:tcW w:type="dxa" w:w="4680"/>
            <w:tcW w:w="7060" w:type="dxa"/>
            <w:vAlign w:val="center"/>
            <w:tcMar>
              <w:top w:w="80" w:type="dxa"/>
              <w:bottom w:w="80" w:type="dxa"/>
              <w:start w:w="120" w:type="dxa"/>
              <w:end w:w="120" w:type="dxa"/>
            </w:tcMar>
          </w:tcPr>
          <w:p>
            <w:r>
              <w:rPr>
                <w:rFonts w:ascii="Calibri" w:hAnsi="Calibri"/>
                <w:b w:val="0"/>
                <w:i w:val="0"/>
                <w:color w:val="000000"/>
                <w:sz w:val="21"/>
              </w:rPr>
              <w:t>$86,790</w:t>
            </w:r>
          </w:p>
        </w:tc>
      </w:tr>
      <w:tr>
        <w:tc>
          <w:tcPr>
            <w:tcW w:type="dxa" w:w="4680"/>
            <w:shd w:fill="F2F4F7"/>
            <w:tcW w:w="2300" w:type="dxa"/>
            <w:vAlign w:val="center"/>
            <w:tcMar>
              <w:top w:w="80" w:type="dxa"/>
              <w:bottom w:w="80" w:type="dxa"/>
              <w:start w:w="120" w:type="dxa"/>
              <w:end w:w="120" w:type="dxa"/>
            </w:tcMar>
          </w:tcPr>
          <w:p>
            <w:r>
              <w:rPr>
                <w:rFonts w:ascii="Calibri" w:hAnsi="Calibri"/>
                <w:b/>
                <w:i w:val="0"/>
                <w:color w:val="000000"/>
                <w:sz w:val="21"/>
              </w:rPr>
              <w:t>Open auto-loan balances</w:t>
            </w:r>
          </w:p>
        </w:tc>
        <w:tc>
          <w:tcPr>
            <w:tcW w:type="dxa" w:w="4680"/>
            <w:tcW w:w="7060" w:type="dxa"/>
            <w:vAlign w:val="center"/>
            <w:tcMar>
              <w:top w:w="80" w:type="dxa"/>
              <w:bottom w:w="80" w:type="dxa"/>
              <w:start w:w="120" w:type="dxa"/>
              <w:end w:w="120" w:type="dxa"/>
            </w:tcMar>
          </w:tcPr>
          <w:p>
            <w:r>
              <w:rPr>
                <w:rFonts w:ascii="Calibri" w:hAnsi="Calibri"/>
                <w:b w:val="0"/>
                <w:i w:val="0"/>
                <w:color w:val="000000"/>
                <w:sz w:val="21"/>
              </w:rPr>
              <w:t>$16,536; $19,112; $22,864; $28,278</w:t>
            </w:r>
          </w:p>
        </w:tc>
      </w:tr>
      <w:tr>
        <w:tc>
          <w:tcPr>
            <w:tcW w:type="dxa" w:w="4680"/>
            <w:shd w:fill="F2F4F7"/>
            <w:tcW w:w="2300" w:type="dxa"/>
            <w:vAlign w:val="center"/>
            <w:tcMar>
              <w:top w:w="80" w:type="dxa"/>
              <w:bottom w:w="80" w:type="dxa"/>
              <w:start w:w="120" w:type="dxa"/>
              <w:end w:w="120" w:type="dxa"/>
            </w:tcMar>
          </w:tcPr>
          <w:p>
            <w:r>
              <w:rPr>
                <w:rFonts w:ascii="Calibri" w:hAnsi="Calibri"/>
                <w:b/>
                <w:i w:val="0"/>
                <w:color w:val="000000"/>
                <w:sz w:val="21"/>
              </w:rPr>
              <w:t>Credit-card balance shown</w:t>
            </w:r>
          </w:p>
        </w:tc>
        <w:tc>
          <w:tcPr>
            <w:tcW w:type="dxa" w:w="4680"/>
            <w:tcW w:w="7060" w:type="dxa"/>
            <w:vAlign w:val="center"/>
            <w:tcMar>
              <w:top w:w="80" w:type="dxa"/>
              <w:bottom w:w="80" w:type="dxa"/>
              <w:start w:w="120" w:type="dxa"/>
              <w:end w:w="120" w:type="dxa"/>
            </w:tcMar>
          </w:tcPr>
          <w:p>
            <w:r>
              <w:rPr>
                <w:rFonts w:ascii="Calibri" w:hAnsi="Calibri"/>
                <w:b w:val="0"/>
                <w:i w:val="0"/>
                <w:color w:val="000000"/>
                <w:sz w:val="21"/>
              </w:rPr>
              <w:t>$0 on Capital One account</w:t>
            </w:r>
          </w:p>
        </w:tc>
      </w:tr>
    </w:tbl>
    <w:p>
      <w:pPr>
        <w:spacing w:before="0" w:after="40" w:line="264" w:lineRule="auto"/>
      </w:pPr>
    </w:p>
    <w:p>
      <w:r>
        <w:br w:type="page"/>
      </w:r>
    </w:p>
    <w:p>
      <w:pPr>
        <w:pStyle w:val="Heading2"/>
        <w:keepNext/>
        <w:spacing w:before="200" w:after="100"/>
      </w:pPr>
      <w:r>
        <w:rPr>
          <w:rFonts w:ascii="Calibri" w:hAnsi="Calibri"/>
          <w:b/>
          <w:i w:val="0"/>
          <w:color w:val="2E74B5"/>
          <w:sz w:val="26"/>
        </w:rPr>
        <w:t>Payment Ratios</w:t>
      </w:r>
    </w:p>
    <w:tbl>
      <w:tblPr>
        <w:tblStyle w:val="TableGrid"/>
        <w:tblW w:type="auto" w:w="0"/>
        <w:jc w:val="left"/>
        <w:tblLayout w:type="fixed"/>
        <w:tblLook w:firstColumn="1" w:firstRow="1" w:lastColumn="0" w:lastRow="0" w:noHBand="0" w:noVBand="1" w:val="04A0"/>
        <w:tblW w:w="9360" w:type="dxa"/>
        <w:tblInd w:w="120" w:type="dxa"/>
      </w:tblPr>
      <w:tblGrid>
        <w:gridCol w:w="2300"/>
        <w:gridCol w:w="7060"/>
      </w:tblGrid>
      <w:tr>
        <w:tc>
          <w:tcPr>
            <w:tcW w:type="dxa" w:w="9360"/>
            <w:gridSpan w:val="2"/>
            <w:shd w:fill="F2F4F7"/>
            <w:tcW w:w="2300" w:type="dxa"/>
            <w:vAlign w:val="center"/>
            <w:tcMar>
              <w:top w:w="80" w:type="dxa"/>
              <w:bottom w:w="80" w:type="dxa"/>
              <w:start w:w="120" w:type="dxa"/>
              <w:end w:w="120" w:type="dxa"/>
            </w:tcMar>
            <w:tcW w:w="7060" w:type="dxa"/>
          </w:tcPr>
          <w:p>
            <w:r>
              <w:rPr>
                <w:rFonts w:ascii="Calibri" w:hAnsi="Calibri"/>
                <w:b/>
                <w:i w:val="0"/>
                <w:color w:val="000000"/>
                <w:sz w:val="21"/>
              </w:rPr>
              <w:t>Ratio Test</w:t>
            </w:r>
          </w:p>
        </w:tc>
      </w:tr>
      <w:tr>
        <w:tc>
          <w:tcPr>
            <w:tcW w:type="dxa" w:w="4680"/>
            <w:shd w:fill="F2F4F7"/>
            <w:tcW w:w="2300" w:type="dxa"/>
            <w:vAlign w:val="center"/>
            <w:tcMar>
              <w:top w:w="80" w:type="dxa"/>
              <w:bottom w:w="80" w:type="dxa"/>
              <w:start w:w="120" w:type="dxa"/>
              <w:end w:w="120" w:type="dxa"/>
            </w:tcMar>
          </w:tcPr>
          <w:p>
            <w:r>
              <w:rPr>
                <w:rFonts w:ascii="Calibri" w:hAnsi="Calibri"/>
                <w:b/>
                <w:i w:val="0"/>
                <w:color w:val="000000"/>
                <w:sz w:val="21"/>
              </w:rPr>
              <w:t>Housing ratio using stated income</w:t>
            </w:r>
          </w:p>
        </w:tc>
        <w:tc>
          <w:tcPr>
            <w:tcW w:type="dxa" w:w="4680"/>
            <w:tcW w:w="7060" w:type="dxa"/>
            <w:vAlign w:val="center"/>
            <w:tcMar>
              <w:top w:w="80" w:type="dxa"/>
              <w:bottom w:w="80" w:type="dxa"/>
              <w:start w:w="120" w:type="dxa"/>
              <w:end w:w="120" w:type="dxa"/>
            </w:tcMar>
          </w:tcPr>
          <w:p>
            <w:r>
              <w:rPr>
                <w:rFonts w:ascii="Calibri" w:hAnsi="Calibri"/>
                <w:b w:val="0"/>
                <w:i w:val="0"/>
                <w:color w:val="000000"/>
                <w:sz w:val="21"/>
              </w:rPr>
              <w:t>$2,701 / $9,500 = 28.4%</w:t>
            </w:r>
          </w:p>
        </w:tc>
      </w:tr>
      <w:tr>
        <w:tc>
          <w:tcPr>
            <w:tcW w:type="dxa" w:w="4680"/>
            <w:shd w:fill="F2F4F7"/>
            <w:tcW w:w="2300" w:type="dxa"/>
            <w:vAlign w:val="center"/>
            <w:tcMar>
              <w:top w:w="80" w:type="dxa"/>
              <w:bottom w:w="80" w:type="dxa"/>
              <w:start w:w="120" w:type="dxa"/>
              <w:end w:w="120" w:type="dxa"/>
            </w:tcMar>
          </w:tcPr>
          <w:p>
            <w:r>
              <w:rPr>
                <w:rFonts w:ascii="Calibri" w:hAnsi="Calibri"/>
                <w:b/>
                <w:i w:val="0"/>
                <w:color w:val="000000"/>
                <w:sz w:val="21"/>
              </w:rPr>
              <w:t>Back-end ratio using stated income</w:t>
            </w:r>
          </w:p>
        </w:tc>
        <w:tc>
          <w:tcPr>
            <w:tcW w:type="dxa" w:w="4680"/>
            <w:tcW w:w="7060" w:type="dxa"/>
            <w:vAlign w:val="center"/>
            <w:tcMar>
              <w:top w:w="80" w:type="dxa"/>
              <w:bottom w:w="80" w:type="dxa"/>
              <w:start w:w="120" w:type="dxa"/>
              <w:end w:w="120" w:type="dxa"/>
            </w:tcMar>
          </w:tcPr>
          <w:p>
            <w:r>
              <w:rPr>
                <w:rFonts w:ascii="Calibri" w:hAnsi="Calibri"/>
                <w:b w:val="0"/>
                <w:i w:val="0"/>
                <w:color w:val="000000"/>
                <w:sz w:val="21"/>
              </w:rPr>
              <w:t>($2,701 + $2,162) / $9,500 = 51.2%</w:t>
            </w:r>
          </w:p>
        </w:tc>
      </w:tr>
      <w:tr>
        <w:tc>
          <w:tcPr>
            <w:tcW w:type="dxa" w:w="4680"/>
            <w:shd w:fill="F2F4F7"/>
            <w:tcW w:w="2300" w:type="dxa"/>
            <w:vAlign w:val="center"/>
            <w:tcMar>
              <w:top w:w="80" w:type="dxa"/>
              <w:bottom w:w="80" w:type="dxa"/>
              <w:start w:w="120" w:type="dxa"/>
              <w:end w:w="120" w:type="dxa"/>
            </w:tcMar>
          </w:tcPr>
          <w:p>
            <w:r>
              <w:rPr>
                <w:rFonts w:ascii="Calibri" w:hAnsi="Calibri"/>
                <w:b/>
                <w:i w:val="0"/>
                <w:color w:val="000000"/>
                <w:sz w:val="21"/>
              </w:rPr>
              <w:t>Underwriting interpretation</w:t>
            </w:r>
          </w:p>
        </w:tc>
        <w:tc>
          <w:tcPr>
            <w:tcW w:type="dxa" w:w="4680"/>
            <w:tcW w:w="7060" w:type="dxa"/>
            <w:vAlign w:val="center"/>
            <w:tcMar>
              <w:top w:w="80" w:type="dxa"/>
              <w:bottom w:w="80" w:type="dxa"/>
              <w:start w:w="120" w:type="dxa"/>
              <w:end w:w="120" w:type="dxa"/>
            </w:tcMar>
          </w:tcPr>
          <w:p>
            <w:r>
              <w:rPr>
                <w:rFonts w:ascii="Calibri" w:hAnsi="Calibri"/>
                <w:b w:val="0"/>
                <w:i w:val="0"/>
                <w:color w:val="000000"/>
                <w:sz w:val="21"/>
              </w:rPr>
              <w:t>The housing ratio may look plausible alone, but the back-end ratio is high for a conservative ability-to-repay file. Gross business deposits should not be used as income without net-income verification.</w:t>
            </w:r>
          </w:p>
        </w:tc>
      </w:tr>
    </w:tbl>
    <w:p>
      <w:pPr>
        <w:spacing w:before="0" w:after="40" w:line="264" w:lineRule="auto"/>
      </w:pPr>
    </w:p>
    <w:p>
      <w:pPr>
        <w:pStyle w:val="Heading2"/>
        <w:keepNext/>
        <w:spacing w:before="200" w:after="100"/>
      </w:pPr>
      <w:r>
        <w:rPr>
          <w:rFonts w:ascii="Calibri" w:hAnsi="Calibri"/>
          <w:b/>
          <w:i w:val="0"/>
          <w:color w:val="2E74B5"/>
          <w:sz w:val="26"/>
        </w:rPr>
        <w:t>Cash To Close And Reserves</w:t>
      </w:r>
    </w:p>
    <w:p>
      <w:pPr>
        <w:spacing w:before="0" w:after="120" w:line="264" w:lineRule="auto"/>
      </w:pPr>
      <w:r>
        <w:rPr>
          <w:rFonts w:ascii="Calibri" w:hAnsi="Calibri"/>
          <w:b w:val="0"/>
          <w:i w:val="0"/>
          <w:color w:val="000000"/>
          <w:sz w:val="22"/>
        </w:rPr>
        <w:t>The new business bank statements still do not prove cash to close. The latest business statement ending balance is $5,058.11 and the latest provided personal statement ending balance is $503.73. Those balances do not prove the $6,000 earnest money, $20,790 total down payment, closing funds, and post-closing reserves.</w:t>
      </w:r>
    </w:p>
    <w:p>
      <w:pPr>
        <w:pStyle w:val="Heading1"/>
        <w:keepNext/>
        <w:spacing w:before="320" w:after="160"/>
      </w:pPr>
      <w:r>
        <w:rPr>
          <w:rFonts w:ascii="Calibri" w:hAnsi="Calibri"/>
          <w:b/>
          <w:i w:val="0"/>
          <w:color w:val="2E74B5"/>
          <w:sz w:val="32"/>
        </w:rPr>
        <w:t>Decision</w:t>
      </w:r>
    </w:p>
    <w:tbl>
      <w:tblPr>
        <w:tblStyle w:val="TableGrid"/>
        <w:tblW w:type="auto" w:w="0"/>
        <w:jc w:val="left"/>
        <w:tblLayout w:type="fixed"/>
        <w:tblLook w:firstColumn="1" w:firstRow="1" w:lastColumn="0" w:lastRow="0" w:noHBand="0" w:noVBand="1" w:val="04A0"/>
        <w:tblW w:w="9360" w:type="dxa"/>
        <w:tblInd w:w="120" w:type="dxa"/>
      </w:tblPr>
      <w:tblGrid>
        <w:gridCol w:w="9360"/>
      </w:tblGrid>
      <w:tr>
        <w:tc>
          <w:tcPr>
            <w:tcW w:type="dxa" w:w="9360"/>
            <w:shd w:fill="F8EAEA"/>
            <w:tcW w:w="9360" w:type="dxa"/>
            <w:vAlign w:val="center"/>
            <w:tcMar>
              <w:top w:w="80" w:type="dxa"/>
              <w:bottom w:w="80" w:type="dxa"/>
              <w:start w:w="120" w:type="dxa"/>
              <w:end w:w="120" w:type="dxa"/>
            </w:tcMar>
          </w:tcPr>
          <w:p>
            <w:r>
              <w:rPr>
                <w:rFonts w:ascii="Calibri" w:hAnsi="Calibri"/>
                <w:b/>
                <w:i w:val="0"/>
                <w:color w:val="9B1C1C"/>
                <w:sz w:val="22"/>
              </w:rPr>
              <w:t>Preliminary Decision</w:t>
            </w:r>
          </w:p>
          <w:p>
            <w:pPr>
              <w:spacing w:line="264" w:lineRule="auto"/>
            </w:pPr>
            <w:r>
              <w:rPr>
                <w:rFonts w:ascii="Calibri" w:hAnsi="Calibri"/>
                <w:b w:val="0"/>
                <w:i w:val="0"/>
                <w:color w:val="000000"/>
                <w:sz w:val="21"/>
              </w:rPr>
              <w:t>Do not approve the buyer from the current file. The new documents support conditional reconsideration, not approval. Approval should wait for verified net self-employment income, proof of down payment and reserves, current personal bank statements, and attorney/compliance review.</w:t>
            </w:r>
          </w:p>
        </w:tc>
      </w:tr>
    </w:tbl>
    <w:p>
      <w:pPr>
        <w:spacing w:before="0" w:after="40" w:line="264" w:lineRule="auto"/>
      </w:pPr>
    </w:p>
    <w:p>
      <w:pPr>
        <w:pStyle w:val="Heading1"/>
        <w:keepNext/>
        <w:spacing w:before="320" w:after="160"/>
      </w:pPr>
      <w:r>
        <w:rPr>
          <w:rFonts w:ascii="Calibri" w:hAnsi="Calibri"/>
          <w:b/>
          <w:i w:val="0"/>
          <w:color w:val="2E74B5"/>
          <w:sz w:val="32"/>
        </w:rPr>
        <w:t>Documents Required Before Reconsideration</w:t>
      </w:r>
    </w:p>
    <w:p>
      <w:pPr>
        <w:pStyle w:val="ListNumber"/>
        <w:spacing w:after="140" w:line="280" w:lineRule="auto"/>
        <w:ind w:left="720" w:hanging="360"/>
      </w:pPr>
      <w:r>
        <w:rPr>
          <w:rFonts w:ascii="Calibri" w:hAnsi="Calibri"/>
          <w:b w:val="0"/>
          <w:i w:val="0"/>
          <w:color w:val="000000"/>
          <w:sz w:val="22"/>
        </w:rPr>
        <w:t>Legal name and ID for each buyer or obligor.</w:t>
      </w:r>
    </w:p>
    <w:p>
      <w:pPr>
        <w:pStyle w:val="ListNumber"/>
        <w:spacing w:after="140" w:line="280" w:lineRule="auto"/>
        <w:ind w:left="720" w:hanging="360"/>
      </w:pPr>
      <w:r>
        <w:rPr>
          <w:rFonts w:ascii="Calibri" w:hAnsi="Calibri"/>
          <w:b w:val="0"/>
          <w:i w:val="0"/>
          <w:color w:val="000000"/>
          <w:sz w:val="22"/>
        </w:rPr>
        <w:t>Current 2026 personal bank statements through the application month.</w:t>
      </w:r>
    </w:p>
    <w:p>
      <w:pPr>
        <w:pStyle w:val="ListNumber"/>
        <w:spacing w:after="140" w:line="280" w:lineRule="auto"/>
        <w:ind w:left="720" w:hanging="360"/>
      </w:pPr>
      <w:r>
        <w:rPr>
          <w:rFonts w:ascii="Calibri" w:hAnsi="Calibri"/>
          <w:b w:val="0"/>
          <w:i w:val="0"/>
          <w:color w:val="000000"/>
          <w:sz w:val="22"/>
        </w:rPr>
        <w:t>Self-employment income package: tax returns, year-to-date profit-and-loss, 1099s, invoices/contracts, payroll or owner-draw records, and customer/payment verification where available.</w:t>
      </w:r>
    </w:p>
    <w:p>
      <w:pPr>
        <w:pStyle w:val="ListNumber"/>
        <w:spacing w:after="140" w:line="280" w:lineRule="auto"/>
        <w:ind w:left="720" w:hanging="360"/>
      </w:pPr>
      <w:r>
        <w:rPr>
          <w:rFonts w:ascii="Calibri" w:hAnsi="Calibri"/>
          <w:b w:val="0"/>
          <w:i w:val="0"/>
          <w:color w:val="000000"/>
          <w:sz w:val="22"/>
        </w:rPr>
        <w:t>Explanation of Ever's ownership, officer role, or compensation relationship with Matthew Flooring LLC.</w:t>
      </w:r>
    </w:p>
    <w:p>
      <w:pPr>
        <w:pStyle w:val="ListNumber"/>
        <w:spacing w:after="140" w:line="280" w:lineRule="auto"/>
        <w:ind w:left="720" w:hanging="360"/>
      </w:pPr>
      <w:r>
        <w:rPr>
          <w:rFonts w:ascii="Calibri" w:hAnsi="Calibri"/>
          <w:b w:val="0"/>
          <w:i w:val="0"/>
          <w:color w:val="000000"/>
          <w:sz w:val="22"/>
        </w:rPr>
        <w:t>Explanation and documentation for material non-routine transfer activity, including Kimberly Terrill activity and outgoing "Yo Ever" transfers.</w:t>
      </w:r>
    </w:p>
    <w:p>
      <w:pPr>
        <w:pStyle w:val="ListNumber"/>
        <w:spacing w:after="140" w:line="280" w:lineRule="auto"/>
        <w:ind w:left="720" w:hanging="360"/>
      </w:pPr>
      <w:r>
        <w:rPr>
          <w:rFonts w:ascii="Calibri" w:hAnsi="Calibri"/>
          <w:b w:val="0"/>
          <w:i w:val="0"/>
          <w:color w:val="000000"/>
          <w:sz w:val="22"/>
        </w:rPr>
        <w:t>Current debt obligations and monthly payments, including whether the auto loans will remain after closing.</w:t>
      </w:r>
    </w:p>
    <w:p>
      <w:pPr>
        <w:pStyle w:val="ListNumber"/>
        <w:spacing w:after="140" w:line="280" w:lineRule="auto"/>
        <w:ind w:left="720" w:hanging="360"/>
      </w:pPr>
      <w:r>
        <w:rPr>
          <w:rFonts w:ascii="Calibri" w:hAnsi="Calibri"/>
          <w:b w:val="0"/>
          <w:i w:val="0"/>
          <w:color w:val="000000"/>
          <w:sz w:val="22"/>
        </w:rPr>
        <w:t>Proof of down payment, earnest money source, closing funds, and reserves.</w:t>
      </w:r>
    </w:p>
    <w:p>
      <w:pPr>
        <w:pStyle w:val="ListNumber"/>
        <w:spacing w:after="140" w:line="280" w:lineRule="auto"/>
        <w:ind w:left="720" w:hanging="360"/>
      </w:pPr>
      <w:r>
        <w:rPr>
          <w:rFonts w:ascii="Calibri" w:hAnsi="Calibri"/>
          <w:b w:val="0"/>
          <w:i w:val="0"/>
          <w:color w:val="000000"/>
          <w:sz w:val="22"/>
        </w:rPr>
        <w:t>Final proposed payment schedule and escrow breakdown.</w:t>
      </w:r>
    </w:p>
    <w:p>
      <w:pPr>
        <w:pStyle w:val="ListNumber"/>
        <w:spacing w:after="140" w:line="280" w:lineRule="auto"/>
        <w:ind w:left="720" w:hanging="360"/>
      </w:pPr>
      <w:r>
        <w:rPr>
          <w:rFonts w:ascii="Calibri" w:hAnsi="Calibri"/>
          <w:b w:val="0"/>
          <w:i w:val="0"/>
          <w:color w:val="000000"/>
          <w:sz w:val="22"/>
        </w:rPr>
        <w:t>Attorney review of seller-financing compliance and any adverse-action or conditional-approval notice requirements.</w:t>
      </w:r>
    </w:p>
    <w:p>
      <w:pPr>
        <w:pStyle w:val="Heading1"/>
        <w:keepNext/>
        <w:spacing w:before="320" w:after="160"/>
      </w:pPr>
      <w:r>
        <w:rPr>
          <w:rFonts w:ascii="Calibri" w:hAnsi="Calibri"/>
          <w:b/>
          <w:i w:val="0"/>
          <w:color w:val="2E74B5"/>
          <w:sz w:val="32"/>
        </w:rPr>
        <w:t>Compliance And Use Limitations</w:t>
      </w:r>
    </w:p>
    <w:p>
      <w:pPr>
        <w:pStyle w:val="ListBullet"/>
        <w:spacing w:after="140" w:line="280" w:lineRule="auto"/>
        <w:ind w:left="720" w:hanging="360"/>
      </w:pPr>
      <w:r>
        <w:rPr>
          <w:rFonts w:ascii="Calibri" w:hAnsi="Calibri"/>
          <w:b w:val="0"/>
          <w:i w:val="0"/>
          <w:color w:val="000000"/>
          <w:sz w:val="22"/>
        </w:rPr>
        <w:t>This report is a preliminary business and file-completeness review, not legal advice.</w:t>
      </w:r>
    </w:p>
    <w:p>
      <w:pPr>
        <w:pStyle w:val="ListBullet"/>
        <w:spacing w:after="140" w:line="280" w:lineRule="auto"/>
        <w:ind w:left="720" w:hanging="360"/>
      </w:pPr>
      <w:r>
        <w:rPr>
          <w:rFonts w:ascii="Calibri" w:hAnsi="Calibri"/>
          <w:b w:val="0"/>
          <w:i w:val="0"/>
          <w:color w:val="000000"/>
          <w:sz w:val="22"/>
        </w:rPr>
        <w:t>Attorney review remains required for seller-financer, Dodd-Frank, Regulation Z, North Carolina law, and adverse-action notice questions.</w:t>
      </w:r>
    </w:p>
    <w:p>
      <w:pPr>
        <w:pStyle w:val="ListBullet"/>
        <w:spacing w:after="140" w:line="280" w:lineRule="auto"/>
        <w:ind w:left="720" w:hanging="360"/>
      </w:pPr>
      <w:r>
        <w:rPr>
          <w:rFonts w:ascii="Calibri" w:hAnsi="Calibri"/>
          <w:b w:val="0"/>
          <w:i w:val="0"/>
          <w:color w:val="000000"/>
          <w:sz w:val="22"/>
        </w:rPr>
        <w:t>If the buyer is declined or approved only with changed terms, counsel should confirm whether Equal Credit Opportunity Act or Fair Credit Reporting Act notices are required.</w:t>
      </w:r>
    </w:p>
    <w:p>
      <w:pPr>
        <w:pStyle w:val="ListBullet"/>
        <w:spacing w:after="140" w:line="280" w:lineRule="auto"/>
        <w:ind w:left="720" w:hanging="360"/>
      </w:pPr>
      <w:r>
        <w:rPr>
          <w:rFonts w:ascii="Calibri" w:hAnsi="Calibri"/>
          <w:b w:val="0"/>
          <w:i w:val="0"/>
          <w:color w:val="000000"/>
          <w:sz w:val="22"/>
        </w:rPr>
        <w:t>Any approval reconsideration should be documented with a fresh ability-to-repay worksheet using verified net income and reserve evidence.</w:t>
      </w:r>
    </w:p>
    <w:p>
      <w:pPr>
        <w:pStyle w:val="Heading1"/>
        <w:keepNext/>
        <w:spacing w:before="320" w:after="160"/>
      </w:pPr>
      <w:r>
        <w:rPr>
          <w:rFonts w:ascii="Calibri" w:hAnsi="Calibri"/>
          <w:b/>
          <w:i w:val="0"/>
          <w:color w:val="2E74B5"/>
          <w:sz w:val="32"/>
        </w:rPr>
        <w:t>Prepared By</w:t>
      </w:r>
    </w:p>
    <w:p>
      <w:pPr>
        <w:spacing w:before="0" w:after="120" w:line="264" w:lineRule="auto"/>
      </w:pPr>
      <w:r>
        <w:rPr>
          <w:rFonts w:ascii="Calibri" w:hAnsi="Calibri"/>
          <w:b/>
          <w:i w:val="0"/>
          <w:color w:val="000000"/>
          <w:sz w:val="22"/>
        </w:rPr>
        <w:t>Investment Services, LLC</w:t>
      </w:r>
    </w:p>
    <w:p>
      <w:pPr>
        <w:spacing w:before="0" w:after="120" w:line="264" w:lineRule="auto"/>
      </w:pPr>
      <w:r>
        <w:rPr>
          <w:rFonts w:ascii="Calibri" w:hAnsi="Calibri"/>
          <w:b w:val="0"/>
          <w:i w:val="0"/>
          <w:color w:val="000000"/>
          <w:sz w:val="22"/>
        </w:rPr>
        <w:t>For internal Buy Your Home review and attorney/compliance follow-up.</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A5A5A"/>
        <w:sz w:val="17"/>
      </w:rPr>
      <w:t>Confidential preliminary review - not legal advice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Investment Services, LLC | Creditworthiness Evaluation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Creditworthiness Evaluation Report - 320 Rose Pl</dc:title>
  <dc:subject>Updated buyer creditworthiness evaluation for proposed seller-financed purchase</dc:subject>
  <dc:creator>Investment Services, LLC</dc:creator>
  <cp:keywords/>
  <dc:description>Prepared by Investment Services, LLC from project room source materials.</dc:description>
  <cp:lastModifiedBy>Investment Services, LLC</cp:lastModifiedBy>
  <cp:revision>1</cp:revision>
  <dcterms:created xsi:type="dcterms:W3CDTF">2013-12-23T23:15:00Z</dcterms:created>
  <dcterms:modified xsi:type="dcterms:W3CDTF">2013-12-23T23:15:00Z</dcterms:modified>
  <cp:category/>
</cp:coreProperties>
</file>