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Bdr>
          <w:bottom w:val="single" w:sz="8" w:space="6" w:color="2E74B5"/>
        </w:pBdr>
      </w:pPr>
      <w:r>
        <w:rPr>
          <w:rFonts w:ascii="Calibri" w:hAnsi="Calibri"/>
          <w:b/>
          <w:color w:val="000000"/>
          <w:sz w:val="42"/>
        </w:rPr>
        <w:t>CREDITWORTHINESS EVALUATION REPORT</w:t>
      </w:r>
    </w:p>
    <w:p>
      <w:pPr>
        <w:spacing w:after="240"/>
      </w:pPr>
      <w:r>
        <w:rPr>
          <w:rFonts w:ascii="Calibri" w:hAnsi="Calibri"/>
          <w:color w:val="5A5A5A"/>
          <w:sz w:val="26"/>
        </w:rPr>
        <w:t>Proposed Buyer Review for 320 Rose Pl / Rose Place</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F2F4F7"/>
            <w:tcMar>
              <w:top w:w="80" w:type="dxa"/>
              <w:start w:w="120" w:type="dxa"/>
              <w:bottom w:w="80" w:type="dxa"/>
              <w:end w:w="120" w:type="dxa"/>
            </w:tcMar>
            <w:vAlign w:val="center"/>
          </w:tcPr>
          <w:p>
            <w:r>
              <w:rPr>
                <w:rFonts w:ascii="Calibri" w:hAnsi="Calibri"/>
                <w:b/>
                <w:color w:val="000000"/>
                <w:sz w:val="21"/>
              </w:rPr>
              <w:t>Prepared by</w:t>
            </w:r>
          </w:p>
        </w:tc>
        <w:tc>
          <w:tcPr>
            <w:tcW w:type="dxa" w:w="7260"/>
            <w:tcMar>
              <w:top w:w="80" w:type="dxa"/>
              <w:start w:w="120" w:type="dxa"/>
              <w:bottom w:w="80" w:type="dxa"/>
              <w:end w:w="120" w:type="dxa"/>
            </w:tcMar>
            <w:vAlign w:val="center"/>
          </w:tcPr>
          <w:p>
            <w:r>
              <w:rPr>
                <w:rFonts w:ascii="Calibri" w:hAnsi="Calibri"/>
                <w:color w:val="000000"/>
                <w:sz w:val="21"/>
              </w:rPr>
              <w:t>Investment Services, LLC</w:t>
            </w:r>
          </w:p>
        </w:tc>
      </w:tr>
      <w:tr>
        <w:tc>
          <w:tcPr>
            <w:tcW w:type="dxa" w:w="2100"/>
            <w:shd w:fill="F2F4F7"/>
            <w:tcMar>
              <w:top w:w="80" w:type="dxa"/>
              <w:start w:w="120" w:type="dxa"/>
              <w:bottom w:w="80" w:type="dxa"/>
              <w:end w:w="120" w:type="dxa"/>
            </w:tcMar>
            <w:vAlign w:val="center"/>
          </w:tcPr>
          <w:p>
            <w:r>
              <w:rPr>
                <w:rFonts w:ascii="Calibri" w:hAnsi="Calibri"/>
                <w:b/>
                <w:color w:val="000000"/>
                <w:sz w:val="21"/>
              </w:rPr>
              <w:t>Report date</w:t>
            </w:r>
          </w:p>
        </w:tc>
        <w:tc>
          <w:tcPr>
            <w:tcW w:type="dxa" w:w="7260"/>
            <w:tcMar>
              <w:top w:w="80" w:type="dxa"/>
              <w:start w:w="120" w:type="dxa"/>
              <w:bottom w:w="80" w:type="dxa"/>
              <w:end w:w="120" w:type="dxa"/>
            </w:tcMar>
            <w:vAlign w:val="center"/>
          </w:tcPr>
          <w:p>
            <w:r>
              <w:rPr>
                <w:rFonts w:ascii="Calibri" w:hAnsi="Calibri"/>
                <w:color w:val="000000"/>
                <w:sz w:val="21"/>
              </w:rPr>
              <w:t>June 5, 2026</w:t>
            </w:r>
          </w:p>
        </w:tc>
      </w:tr>
      <w:tr>
        <w:tc>
          <w:tcPr>
            <w:tcW w:type="dxa" w:w="2100"/>
            <w:shd w:fill="F2F4F7"/>
            <w:tcMar>
              <w:top w:w="80" w:type="dxa"/>
              <w:start w:w="120" w:type="dxa"/>
              <w:bottom w:w="80" w:type="dxa"/>
              <w:end w:w="120" w:type="dxa"/>
            </w:tcMar>
            <w:vAlign w:val="center"/>
          </w:tcPr>
          <w:p>
            <w:r>
              <w:rPr>
                <w:rFonts w:ascii="Calibri" w:hAnsi="Calibri"/>
                <w:b/>
                <w:color w:val="000000"/>
                <w:sz w:val="21"/>
              </w:rPr>
              <w:t>Subject buyer</w:t>
            </w:r>
          </w:p>
        </w:tc>
        <w:tc>
          <w:tcPr>
            <w:tcW w:type="dxa" w:w="7260"/>
            <w:tcMar>
              <w:top w:w="80" w:type="dxa"/>
              <w:start w:w="120" w:type="dxa"/>
              <w:bottom w:w="80" w:type="dxa"/>
              <w:end w:w="120" w:type="dxa"/>
            </w:tcMar>
            <w:vAlign w:val="center"/>
          </w:tcPr>
          <w:p>
            <w:r>
              <w:rPr>
                <w:rFonts w:ascii="Calibri" w:hAnsi="Calibri"/>
                <w:color w:val="000000"/>
                <w:sz w:val="21"/>
              </w:rPr>
              <w:t>Ever Amarildo Cardoza; contract spelling still to be confirmed</w:t>
            </w:r>
          </w:p>
        </w:tc>
      </w:tr>
      <w:tr>
        <w:tc>
          <w:tcPr>
            <w:tcW w:type="dxa" w:w="2100"/>
            <w:shd w:fill="F2F4F7"/>
            <w:tcMar>
              <w:top w:w="80" w:type="dxa"/>
              <w:start w:w="120" w:type="dxa"/>
              <w:bottom w:w="80" w:type="dxa"/>
              <w:end w:w="120" w:type="dxa"/>
            </w:tcMar>
            <w:vAlign w:val="center"/>
          </w:tcPr>
          <w:p>
            <w:r>
              <w:rPr>
                <w:rFonts w:ascii="Calibri" w:hAnsi="Calibri"/>
                <w:b/>
                <w:color w:val="000000"/>
                <w:sz w:val="21"/>
              </w:rPr>
              <w:t>Property</w:t>
            </w:r>
          </w:p>
        </w:tc>
        <w:tc>
          <w:tcPr>
            <w:tcW w:type="dxa" w:w="7260"/>
            <w:tcMar>
              <w:top w:w="80" w:type="dxa"/>
              <w:start w:w="120" w:type="dxa"/>
              <w:bottom w:w="80" w:type="dxa"/>
              <w:end w:w="120" w:type="dxa"/>
            </w:tcMar>
            <w:vAlign w:val="center"/>
          </w:tcPr>
          <w:p>
            <w:r>
              <w:rPr>
                <w:rFonts w:ascii="Calibri" w:hAnsi="Calibri"/>
                <w:color w:val="000000"/>
                <w:sz w:val="21"/>
              </w:rPr>
              <w:t>320 Rose Pl / Rose Place</w:t>
            </w:r>
          </w:p>
        </w:tc>
      </w:tr>
      <w:tr>
        <w:tc>
          <w:tcPr>
            <w:tcW w:type="dxa" w:w="2100"/>
            <w:shd w:fill="F2F4F7"/>
            <w:tcMar>
              <w:top w:w="80" w:type="dxa"/>
              <w:start w:w="120" w:type="dxa"/>
              <w:bottom w:w="80" w:type="dxa"/>
              <w:end w:w="120" w:type="dxa"/>
            </w:tcMar>
            <w:vAlign w:val="center"/>
          </w:tcPr>
          <w:p>
            <w:r>
              <w:rPr>
                <w:rFonts w:ascii="Calibri" w:hAnsi="Calibri"/>
                <w:b/>
                <w:color w:val="000000"/>
                <w:sz w:val="21"/>
              </w:rPr>
              <w:t>Purpose</w:t>
            </w:r>
          </w:p>
        </w:tc>
        <w:tc>
          <w:tcPr>
            <w:tcW w:type="dxa" w:w="7260"/>
            <w:tcMar>
              <w:top w:w="80" w:type="dxa"/>
              <w:start w:w="120" w:type="dxa"/>
              <w:bottom w:w="80" w:type="dxa"/>
              <w:end w:w="120" w:type="dxa"/>
            </w:tcMar>
            <w:vAlign w:val="center"/>
          </w:tcPr>
          <w:p>
            <w:r>
              <w:rPr>
                <w:rFonts w:ascii="Calibri" w:hAnsi="Calibri"/>
                <w:color w:val="000000"/>
                <w:sz w:val="21"/>
              </w:rPr>
              <w:t>Preliminary ability-to-repay and file-completeness review for proposed seller financing</w:t>
            </w:r>
          </w:p>
        </w:tc>
      </w:tr>
      <w:tr>
        <w:tc>
          <w:tcPr>
            <w:tcW w:type="dxa" w:w="2100"/>
            <w:shd w:fill="F2F4F7"/>
            <w:tcMar>
              <w:top w:w="80" w:type="dxa"/>
              <w:start w:w="120" w:type="dxa"/>
              <w:bottom w:w="80" w:type="dxa"/>
              <w:end w:w="120" w:type="dxa"/>
            </w:tcMar>
            <w:vAlign w:val="center"/>
          </w:tcPr>
          <w:p>
            <w:r>
              <w:rPr>
                <w:rFonts w:ascii="Calibri" w:hAnsi="Calibri"/>
                <w:b/>
                <w:color w:val="000000"/>
                <w:sz w:val="21"/>
              </w:rPr>
              <w:t>Overall result</w:t>
            </w:r>
          </w:p>
        </w:tc>
        <w:tc>
          <w:tcPr>
            <w:tcW w:type="dxa" w:w="7260"/>
            <w:tcMar>
              <w:top w:w="80" w:type="dxa"/>
              <w:start w:w="120" w:type="dxa"/>
              <w:bottom w:w="80" w:type="dxa"/>
              <w:end w:w="120" w:type="dxa"/>
            </w:tcMar>
            <w:vAlign w:val="center"/>
          </w:tcPr>
          <w:p>
            <w:r>
              <w:rPr>
                <w:rFonts w:ascii="Calibri" w:hAnsi="Calibri"/>
                <w:color w:val="000000"/>
                <w:sz w:val="21"/>
              </w:rPr>
              <w:t>Do not approve from the current file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EAEA"/>
            <w:tcMar>
              <w:top w:w="80" w:type="dxa"/>
              <w:start w:w="120" w:type="dxa"/>
              <w:bottom w:w="80" w:type="dxa"/>
              <w:end w:w="120" w:type="dxa"/>
            </w:tcMar>
            <w:vAlign w:val="center"/>
          </w:tcPr>
          <w:p>
            <w:pPr>
              <w:spacing w:after="80"/>
            </w:pPr>
            <w:r>
              <w:rPr>
                <w:rFonts w:ascii="Calibri" w:hAnsi="Calibri"/>
                <w:b/>
                <w:color w:val="9B1C1C"/>
                <w:sz w:val="22"/>
              </w:rPr>
              <w:t>Executive Recommendation</w:t>
            </w:r>
          </w:p>
          <w:p>
            <w:pPr>
              <w:spacing w:after="40" w:line="264" w:lineRule="auto"/>
            </w:pPr>
            <w:r>
              <w:rPr>
                <w:rFonts w:ascii="Calibri" w:hAnsi="Calibri"/>
                <w:color w:val="000000"/>
                <w:sz w:val="21"/>
              </w:rPr>
              <w:t>Investment Services, LLC recommends that the buyer not be approved from the current file. The file contains favorable screening items, but it does not provide verified self-employment income, proof of down payment or reserves, or a current bank-statement package sufficient to support the proposed seller-financed payment.</w:t>
            </w:r>
          </w:p>
        </w:tc>
      </w:tr>
    </w:tbl>
    <w:p>
      <w:pPr>
        <w:spacing w:after="40"/>
      </w:pPr>
    </w:p>
    <w:p>
      <w:pPr>
        <w:pStyle w:val="Heading1"/>
        <w:keepNext/>
        <w:spacing w:before="320" w:after="160"/>
      </w:pPr>
      <w:r>
        <w:rPr>
          <w:rFonts w:ascii="Calibri" w:hAnsi="Calibri"/>
          <w:b/>
          <w:color w:val="2E74B5"/>
          <w:sz w:val="32"/>
        </w:rPr>
        <w:t>Basis Of Review</w:t>
      </w:r>
    </w:p>
    <w:p>
      <w:pPr>
        <w:spacing w:before="0" w:after="120" w:line="264" w:lineRule="auto"/>
      </w:pPr>
      <w:r>
        <w:rPr>
          <w:rFonts w:ascii="Calibri" w:hAnsi="Calibri"/>
          <w:b w:val="0"/>
          <w:color w:val="000000"/>
          <w:sz w:val="22"/>
        </w:rPr>
        <w:t>This report is based on the refreshed Credit Worthiness Evaluator project room source set copied from the Teams-synced Rose Pl / Ever Cordoza folder on June 5, 2026. It distinguishes supported source facts from underwriting assumptions and does not provide legal advice or a final compliance determination.</w:t>
      </w:r>
    </w:p>
    <w:p>
      <w:r>
        <w:br w:type="page"/>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7260"/>
            <w:gridSpan w:val="2"/>
            <w:shd w:fill="F2F4F7"/>
            <w:tcMar>
              <w:top w:w="80" w:type="dxa"/>
              <w:start w:w="120" w:type="dxa"/>
              <w:bottom w:w="80" w:type="dxa"/>
              <w:end w:w="120" w:type="dxa"/>
            </w:tcMar>
            <w:vAlign w:val="center"/>
          </w:tcPr>
          <w:p>
            <w:r>
              <w:rPr>
                <w:rFonts w:ascii="Calibri" w:hAnsi="Calibri"/>
                <w:b/>
                <w:color w:val="000000"/>
                <w:sz w:val="21"/>
              </w:rPr>
              <w:t>Source Categories</w:t>
            </w:r>
          </w:p>
        </w:tc>
      </w:tr>
      <w:tr>
        <w:tc>
          <w:tcPr>
            <w:tcW w:type="dxa" w:w="2100"/>
            <w:shd w:fill="F2F4F7"/>
            <w:tcMar>
              <w:top w:w="80" w:type="dxa"/>
              <w:start w:w="120" w:type="dxa"/>
              <w:bottom w:w="80" w:type="dxa"/>
              <w:end w:w="120" w:type="dxa"/>
            </w:tcMar>
            <w:vAlign w:val="center"/>
          </w:tcPr>
          <w:p>
            <w:r>
              <w:rPr>
                <w:rFonts w:ascii="Calibri" w:hAnsi="Calibri"/>
                <w:b/>
                <w:color w:val="000000"/>
                <w:sz w:val="21"/>
              </w:rPr>
              <w:t>Meeting materials</w:t>
            </w:r>
          </w:p>
        </w:tc>
        <w:tc>
          <w:tcPr>
            <w:tcW w:type="dxa" w:w="7260"/>
            <w:tcMar>
              <w:top w:w="80" w:type="dxa"/>
              <w:start w:w="120" w:type="dxa"/>
              <w:bottom w:w="80" w:type="dxa"/>
              <w:end w:w="120" w:type="dxa"/>
            </w:tcMar>
            <w:vAlign w:val="center"/>
          </w:tcPr>
          <w:p>
            <w:r>
              <w:rPr>
                <w:rFonts w:ascii="Calibri" w:hAnsi="Calibri"/>
                <w:color w:val="000000"/>
                <w:sz w:val="21"/>
              </w:rPr>
              <w:t>Purchase summary and transcript for the June 4, 2026 buyer meeting.</w:t>
            </w:r>
          </w:p>
        </w:tc>
      </w:tr>
      <w:tr>
        <w:tc>
          <w:tcPr>
            <w:tcW w:type="dxa" w:w="2100"/>
            <w:shd w:fill="F2F4F7"/>
            <w:tcMar>
              <w:top w:w="80" w:type="dxa"/>
              <w:start w:w="120" w:type="dxa"/>
              <w:bottom w:w="80" w:type="dxa"/>
              <w:end w:w="120" w:type="dxa"/>
            </w:tcMar>
            <w:vAlign w:val="center"/>
          </w:tcPr>
          <w:p>
            <w:r>
              <w:rPr>
                <w:rFonts w:ascii="Calibri" w:hAnsi="Calibri"/>
                <w:b/>
                <w:color w:val="000000"/>
                <w:sz w:val="21"/>
              </w:rPr>
              <w:t>Application materials</w:t>
            </w:r>
          </w:p>
        </w:tc>
        <w:tc>
          <w:tcPr>
            <w:tcW w:type="dxa" w:w="7260"/>
            <w:tcMar>
              <w:top w:w="80" w:type="dxa"/>
              <w:start w:w="120" w:type="dxa"/>
              <w:bottom w:w="80" w:type="dxa"/>
              <w:end w:w="120" w:type="dxa"/>
            </w:tcMar>
            <w:vAlign w:val="center"/>
          </w:tcPr>
          <w:p>
            <w:r>
              <w:rPr>
                <w:rFonts w:ascii="Calibri" w:hAnsi="Calibri"/>
                <w:color w:val="000000"/>
                <w:sz w:val="21"/>
              </w:rPr>
              <w:t>Applicant details, credit report, and background check generated through the Zillow screening package.</w:t>
            </w:r>
          </w:p>
        </w:tc>
      </w:tr>
      <w:tr>
        <w:tc>
          <w:tcPr>
            <w:tcW w:type="dxa" w:w="2100"/>
            <w:shd w:fill="F2F4F7"/>
            <w:tcMar>
              <w:top w:w="80" w:type="dxa"/>
              <w:start w:w="120" w:type="dxa"/>
              <w:bottom w:w="80" w:type="dxa"/>
              <w:end w:w="120" w:type="dxa"/>
            </w:tcMar>
            <w:vAlign w:val="center"/>
          </w:tcPr>
          <w:p>
            <w:r>
              <w:rPr>
                <w:rFonts w:ascii="Calibri" w:hAnsi="Calibri"/>
                <w:b/>
                <w:color w:val="000000"/>
                <w:sz w:val="21"/>
              </w:rPr>
              <w:t>Bank materials</w:t>
            </w:r>
          </w:p>
        </w:tc>
        <w:tc>
          <w:tcPr>
            <w:tcW w:type="dxa" w:w="7260"/>
            <w:tcMar>
              <w:top w:w="80" w:type="dxa"/>
              <w:start w:w="120" w:type="dxa"/>
              <w:bottom w:w="80" w:type="dxa"/>
              <w:end w:w="120" w:type="dxa"/>
            </w:tcMar>
            <w:vAlign w:val="center"/>
          </w:tcPr>
          <w:p>
            <w:r>
              <w:rPr>
                <w:rFonts w:ascii="Calibri" w:hAnsi="Calibri"/>
                <w:color w:val="000000"/>
                <w:sz w:val="21"/>
              </w:rPr>
              <w:t>Wells Fargo statement PDFs labeled January through December 2025, plus an April 2025 email attachment that duplicates the April statement.</w:t>
            </w:r>
          </w:p>
        </w:tc>
      </w:tr>
      <w:tr>
        <w:tc>
          <w:tcPr>
            <w:tcW w:type="dxa" w:w="2100"/>
            <w:shd w:fill="F2F4F7"/>
            <w:tcMar>
              <w:top w:w="80" w:type="dxa"/>
              <w:start w:w="120" w:type="dxa"/>
              <w:bottom w:w="80" w:type="dxa"/>
              <w:end w:w="120" w:type="dxa"/>
            </w:tcMar>
            <w:vAlign w:val="center"/>
          </w:tcPr>
          <w:p>
            <w:r>
              <w:rPr>
                <w:rFonts w:ascii="Calibri" w:hAnsi="Calibri"/>
                <w:b/>
                <w:color w:val="000000"/>
                <w:sz w:val="21"/>
              </w:rPr>
              <w:t>Working extracts</w:t>
            </w:r>
          </w:p>
        </w:tc>
        <w:tc>
          <w:tcPr>
            <w:tcW w:type="dxa" w:w="7260"/>
            <w:tcMar>
              <w:top w:w="80" w:type="dxa"/>
              <w:start w:w="120" w:type="dxa"/>
              <w:bottom w:w="80" w:type="dxa"/>
              <w:end w:w="120" w:type="dxa"/>
            </w:tcMar>
            <w:vAlign w:val="center"/>
          </w:tcPr>
          <w:p>
            <w:r>
              <w:rPr>
                <w:rFonts w:ascii="Calibri" w:hAnsi="Calibri"/>
                <w:color w:val="000000"/>
                <w:sz w:val="21"/>
              </w:rPr>
              <w:t>Machine text extraction used for review; source PDFs remain controlling if any extraction issue is found.</w:t>
            </w:r>
          </w:p>
        </w:tc>
      </w:tr>
    </w:tbl>
    <w:p>
      <w:pPr>
        <w:spacing w:after="40"/>
      </w:pPr>
    </w:p>
    <w:p>
      <w:pPr>
        <w:pStyle w:val="Heading1"/>
        <w:keepNext/>
        <w:spacing w:before="320" w:after="160"/>
      </w:pPr>
      <w:r>
        <w:rPr>
          <w:rFonts w:ascii="Calibri" w:hAnsi="Calibri"/>
          <w:b/>
          <w:color w:val="2E74B5"/>
          <w:sz w:val="32"/>
        </w:rPr>
        <w:t>Transaction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7260"/>
            <w:gridSpan w:val="2"/>
            <w:shd w:fill="F2F4F7"/>
            <w:tcMar>
              <w:top w:w="80" w:type="dxa"/>
              <w:start w:w="120" w:type="dxa"/>
              <w:bottom w:w="80" w:type="dxa"/>
              <w:end w:w="120" w:type="dxa"/>
            </w:tcMar>
            <w:vAlign w:val="center"/>
          </w:tcPr>
          <w:p>
            <w:r>
              <w:rPr>
                <w:rFonts w:ascii="Calibri" w:hAnsi="Calibri"/>
                <w:b/>
                <w:color w:val="000000"/>
                <w:sz w:val="21"/>
              </w:rPr>
              <w:t>Supported Transaction Facts</w:t>
            </w:r>
          </w:p>
        </w:tc>
      </w:tr>
      <w:tr>
        <w:tc>
          <w:tcPr>
            <w:tcW w:type="dxa" w:w="2100"/>
            <w:shd w:fill="F2F4F7"/>
            <w:tcMar>
              <w:top w:w="80" w:type="dxa"/>
              <w:start w:w="120" w:type="dxa"/>
              <w:bottom w:w="80" w:type="dxa"/>
              <w:end w:w="120" w:type="dxa"/>
            </w:tcMar>
            <w:vAlign w:val="center"/>
          </w:tcPr>
          <w:p>
            <w:r>
              <w:rPr>
                <w:rFonts w:ascii="Calibri" w:hAnsi="Calibri"/>
                <w:b/>
                <w:color w:val="000000"/>
                <w:sz w:val="21"/>
              </w:rPr>
              <w:t>Purchase price</w:t>
            </w:r>
          </w:p>
        </w:tc>
        <w:tc>
          <w:tcPr>
            <w:tcW w:type="dxa" w:w="7260"/>
            <w:tcMar>
              <w:top w:w="80" w:type="dxa"/>
              <w:start w:w="120" w:type="dxa"/>
              <w:bottom w:w="80" w:type="dxa"/>
              <w:end w:w="120" w:type="dxa"/>
            </w:tcMar>
            <w:vAlign w:val="center"/>
          </w:tcPr>
          <w:p>
            <w:r>
              <w:rPr>
                <w:rFonts w:ascii="Calibri" w:hAnsi="Calibri"/>
                <w:color w:val="000000"/>
                <w:sz w:val="21"/>
              </w:rPr>
              <w:t>$346,500 implied from a stated 6% down payment of $20,790.</w:t>
            </w:r>
          </w:p>
        </w:tc>
      </w:tr>
      <w:tr>
        <w:tc>
          <w:tcPr>
            <w:tcW w:type="dxa" w:w="2100"/>
            <w:shd w:fill="F2F4F7"/>
            <w:tcMar>
              <w:top w:w="80" w:type="dxa"/>
              <w:start w:w="120" w:type="dxa"/>
              <w:bottom w:w="80" w:type="dxa"/>
              <w:end w:w="120" w:type="dxa"/>
            </w:tcMar>
            <w:vAlign w:val="center"/>
          </w:tcPr>
          <w:p>
            <w:r>
              <w:rPr>
                <w:rFonts w:ascii="Calibri" w:hAnsi="Calibri"/>
                <w:b/>
                <w:color w:val="000000"/>
                <w:sz w:val="21"/>
              </w:rPr>
              <w:t>Proposed monthly payment</w:t>
            </w:r>
          </w:p>
        </w:tc>
        <w:tc>
          <w:tcPr>
            <w:tcW w:type="dxa" w:w="7260"/>
            <w:tcMar>
              <w:top w:w="80" w:type="dxa"/>
              <w:start w:w="120" w:type="dxa"/>
              <w:bottom w:w="80" w:type="dxa"/>
              <w:end w:w="120" w:type="dxa"/>
            </w:tcMar>
            <w:vAlign w:val="center"/>
          </w:tcPr>
          <w:p>
            <w:r>
              <w:rPr>
                <w:rFonts w:ascii="Calibri" w:hAnsi="Calibri"/>
                <w:color w:val="000000"/>
                <w:sz w:val="21"/>
              </w:rPr>
              <w:t>$2,701, described as including principal, interest, property taxes, and insurance escrow.</w:t>
            </w:r>
          </w:p>
        </w:tc>
      </w:tr>
      <w:tr>
        <w:tc>
          <w:tcPr>
            <w:tcW w:type="dxa" w:w="2100"/>
            <w:shd w:fill="F2F4F7"/>
            <w:tcMar>
              <w:top w:w="80" w:type="dxa"/>
              <w:start w:w="120" w:type="dxa"/>
              <w:bottom w:w="80" w:type="dxa"/>
              <w:end w:w="120" w:type="dxa"/>
            </w:tcMar>
            <w:vAlign w:val="center"/>
          </w:tcPr>
          <w:p>
            <w:r>
              <w:rPr>
                <w:rFonts w:ascii="Calibri" w:hAnsi="Calibri"/>
                <w:b/>
                <w:color w:val="000000"/>
                <w:sz w:val="21"/>
              </w:rPr>
              <w:t>Earnest money</w:t>
            </w:r>
          </w:p>
        </w:tc>
        <w:tc>
          <w:tcPr>
            <w:tcW w:type="dxa" w:w="7260"/>
            <w:tcMar>
              <w:top w:w="80" w:type="dxa"/>
              <w:start w:w="120" w:type="dxa"/>
              <w:bottom w:w="80" w:type="dxa"/>
              <w:end w:w="120" w:type="dxa"/>
            </w:tcMar>
            <w:vAlign w:val="center"/>
          </w:tcPr>
          <w:p>
            <w:r>
              <w:rPr>
                <w:rFonts w:ascii="Calibri" w:hAnsi="Calibri"/>
                <w:color w:val="000000"/>
                <w:sz w:val="21"/>
              </w:rPr>
              <w:t>$6,000 due at contract signing, with the remaining down payment due at attorney closing.</w:t>
            </w:r>
          </w:p>
        </w:tc>
      </w:tr>
      <w:tr>
        <w:tc>
          <w:tcPr>
            <w:tcW w:type="dxa" w:w="2100"/>
            <w:shd w:fill="F2F4F7"/>
            <w:tcMar>
              <w:top w:w="80" w:type="dxa"/>
              <w:start w:w="120" w:type="dxa"/>
              <w:bottom w:w="80" w:type="dxa"/>
              <w:end w:w="120" w:type="dxa"/>
            </w:tcMar>
            <w:vAlign w:val="center"/>
          </w:tcPr>
          <w:p>
            <w:r>
              <w:rPr>
                <w:rFonts w:ascii="Calibri" w:hAnsi="Calibri"/>
                <w:b/>
                <w:color w:val="000000"/>
                <w:sz w:val="21"/>
              </w:rPr>
              <w:t>Current rent</w:t>
            </w:r>
          </w:p>
        </w:tc>
        <w:tc>
          <w:tcPr>
            <w:tcW w:type="dxa" w:w="7260"/>
            <w:tcMar>
              <w:top w:w="80" w:type="dxa"/>
              <w:start w:w="120" w:type="dxa"/>
              <w:bottom w:w="80" w:type="dxa"/>
              <w:end w:w="120" w:type="dxa"/>
            </w:tcMar>
            <w:vAlign w:val="center"/>
          </w:tcPr>
          <w:p>
            <w:r>
              <w:rPr>
                <w:rFonts w:ascii="Calibri" w:hAnsi="Calibri"/>
                <w:color w:val="000000"/>
                <w:sz w:val="21"/>
              </w:rPr>
              <w:t>$1,885/month shown in applicant details.</w:t>
            </w:r>
          </w:p>
        </w:tc>
      </w:tr>
      <w:tr>
        <w:tc>
          <w:tcPr>
            <w:tcW w:type="dxa" w:w="2100"/>
            <w:shd w:fill="F2F4F7"/>
            <w:tcMar>
              <w:top w:w="80" w:type="dxa"/>
              <w:start w:w="120" w:type="dxa"/>
              <w:bottom w:w="80" w:type="dxa"/>
              <w:end w:w="120" w:type="dxa"/>
            </w:tcMar>
            <w:vAlign w:val="center"/>
          </w:tcPr>
          <w:p>
            <w:r>
              <w:rPr>
                <w:rFonts w:ascii="Calibri" w:hAnsi="Calibri"/>
                <w:b/>
                <w:color w:val="000000"/>
                <w:sz w:val="21"/>
              </w:rPr>
              <w:t>Occupancy/timing</w:t>
            </w:r>
          </w:p>
        </w:tc>
        <w:tc>
          <w:tcPr>
            <w:tcW w:type="dxa" w:w="7260"/>
            <w:tcMar>
              <w:top w:w="80" w:type="dxa"/>
              <w:start w:w="120" w:type="dxa"/>
              <w:bottom w:w="80" w:type="dxa"/>
              <w:end w:w="120" w:type="dxa"/>
            </w:tcMar>
            <w:vAlign w:val="center"/>
          </w:tcPr>
          <w:p>
            <w:r>
              <w:rPr>
                <w:rFonts w:ascii="Calibri" w:hAnsi="Calibri"/>
                <w:color w:val="000000"/>
                <w:sz w:val="21"/>
              </w:rPr>
              <w:t>Buyer currently occupies Tensity; lease was described as ending at the end of June 2026.</w:t>
            </w:r>
          </w:p>
        </w:tc>
      </w:tr>
      <w:tr>
        <w:tc>
          <w:tcPr>
            <w:tcW w:type="dxa" w:w="2100"/>
            <w:shd w:fill="F2F4F7"/>
            <w:tcMar>
              <w:top w:w="80" w:type="dxa"/>
              <w:start w:w="120" w:type="dxa"/>
              <w:bottom w:w="80" w:type="dxa"/>
              <w:end w:w="120" w:type="dxa"/>
            </w:tcMar>
            <w:vAlign w:val="center"/>
          </w:tcPr>
          <w:p>
            <w:r>
              <w:rPr>
                <w:rFonts w:ascii="Calibri" w:hAnsi="Calibri"/>
                <w:b/>
                <w:color w:val="000000"/>
                <w:sz w:val="21"/>
              </w:rPr>
              <w:t>Structure still unresolved</w:t>
            </w:r>
          </w:p>
        </w:tc>
        <w:tc>
          <w:tcPr>
            <w:tcW w:type="dxa" w:w="7260"/>
            <w:tcMar>
              <w:top w:w="80" w:type="dxa"/>
              <w:start w:w="120" w:type="dxa"/>
              <w:bottom w:w="80" w:type="dxa"/>
              <w:end w:w="120" w:type="dxa"/>
            </w:tcMar>
            <w:vAlign w:val="center"/>
          </w:tcPr>
          <w:p>
            <w:r>
              <w:rPr>
                <w:rFonts w:ascii="Calibri" w:hAnsi="Calibri"/>
                <w:color w:val="000000"/>
                <w:sz w:val="21"/>
              </w:rPr>
              <w:t>Meeting materials use mixed language about note/mortgage-style financing and deed-transfer-after-payoff structure.</w:t>
            </w:r>
          </w:p>
        </w:tc>
      </w:tr>
    </w:tbl>
    <w:p>
      <w:pPr>
        <w:spacing w:after="40"/>
      </w:pPr>
    </w:p>
    <w:p>
      <w:pPr>
        <w:pStyle w:val="Heading1"/>
        <w:keepNext/>
        <w:spacing w:before="320" w:after="160"/>
      </w:pPr>
      <w:r>
        <w:rPr>
          <w:rFonts w:ascii="Calibri" w:hAnsi="Calibri"/>
          <w:b/>
          <w:color w:val="2E74B5"/>
          <w:sz w:val="32"/>
        </w:rPr>
        <w:t>Screening Strengths</w:t>
      </w:r>
    </w:p>
    <w:p>
      <w:pPr>
        <w:pStyle w:val="ListBullet"/>
        <w:spacing w:after="160" w:line="280" w:lineRule="auto"/>
        <w:ind w:left="720" w:hanging="360"/>
      </w:pPr>
      <w:r>
        <w:rPr>
          <w:rFonts w:ascii="Calibri" w:hAnsi="Calibri"/>
          <w:color w:val="000000"/>
          <w:sz w:val="22"/>
        </w:rPr>
        <w:t>Identity is marked verified in the applicant details.</w:t>
      </w:r>
    </w:p>
    <w:p>
      <w:pPr>
        <w:pStyle w:val="ListBullet"/>
        <w:spacing w:after="160" w:line="280" w:lineRule="auto"/>
        <w:ind w:left="720" w:hanging="360"/>
      </w:pPr>
      <w:r>
        <w:rPr>
          <w:rFonts w:ascii="Calibri" w:hAnsi="Calibri"/>
          <w:color w:val="000000"/>
          <w:sz w:val="22"/>
        </w:rPr>
        <w:t>Credit report shows a 706 VantageScore 4.0 score.</w:t>
      </w:r>
    </w:p>
    <w:p>
      <w:pPr>
        <w:pStyle w:val="ListBullet"/>
        <w:spacing w:after="160" w:line="280" w:lineRule="auto"/>
        <w:ind w:left="720" w:hanging="360"/>
      </w:pPr>
      <w:r>
        <w:rPr>
          <w:rFonts w:ascii="Calibri" w:hAnsi="Calibri"/>
          <w:color w:val="000000"/>
          <w:sz w:val="22"/>
        </w:rPr>
        <w:t>Credit report shows 100% on-time payments, no collections, no delinquent or derogatory account, and no bankruptcies found.</w:t>
      </w:r>
    </w:p>
    <w:p>
      <w:pPr>
        <w:pStyle w:val="ListBullet"/>
        <w:spacing w:after="160" w:line="280" w:lineRule="auto"/>
        <w:ind w:left="720" w:hanging="360"/>
      </w:pPr>
      <w:r>
        <w:rPr>
          <w:rFonts w:ascii="Calibri" w:hAnsi="Calibri"/>
          <w:color w:val="000000"/>
          <w:sz w:val="22"/>
        </w:rPr>
        <w:t>Background check reports no housing court records and no criminal records.</w:t>
      </w:r>
    </w:p>
    <w:p>
      <w:pPr>
        <w:pStyle w:val="Heading1"/>
        <w:keepNext/>
        <w:spacing w:before="320" w:after="160"/>
      </w:pPr>
      <w:r>
        <w:rPr>
          <w:rFonts w:ascii="Calibri" w:hAnsi="Calibri"/>
          <w:b/>
          <w:color w:val="2E74B5"/>
          <w:sz w:val="32"/>
        </w:rPr>
        <w:t>Ability-To-Repay Findings</w:t>
      </w:r>
    </w:p>
    <w:p>
      <w:pPr>
        <w:pStyle w:val="Heading2"/>
        <w:keepNext/>
        <w:spacing w:before="240" w:after="120"/>
      </w:pPr>
      <w:r>
        <w:rPr>
          <w:rFonts w:ascii="Calibri" w:hAnsi="Calibri"/>
          <w:b/>
          <w:color w:val="2E74B5"/>
          <w:sz w:val="26"/>
        </w:rPr>
        <w:t>Income Verification</w:t>
      </w:r>
    </w:p>
    <w:p>
      <w:pPr>
        <w:spacing w:before="0" w:after="120" w:line="264" w:lineRule="auto"/>
      </w:pPr>
      <w:r>
        <w:rPr>
          <w:rFonts w:ascii="Calibri" w:hAnsi="Calibri"/>
          <w:b w:val="0"/>
          <w:color w:val="000000"/>
          <w:sz w:val="22"/>
        </w:rPr>
        <w:t>Applicant details state self-employment income of $9,500/month. That figure is self-reported and is not supported in the refreshed folder by tax returns, a year-to-date profit-and-loss statement, 1099s, invoices, contracts, employer/customer verification, or current 2026 bank statements.</w:t>
      </w:r>
    </w:p>
    <w:p>
      <w:pPr>
        <w:spacing w:before="0" w:after="120" w:line="264" w:lineRule="auto"/>
      </w:pPr>
      <w:r>
        <w:rPr>
          <w:rFonts w:ascii="Calibri" w:hAnsi="Calibri"/>
          <w:b w:val="0"/>
          <w:color w:val="000000"/>
          <w:sz w:val="22"/>
        </w:rPr>
        <w:t>The Wells Fargo statements do not verify $9,500/month in current income. They cover mostly 2025 statement periods, with the latest provided statement ending December 5, 2025, roughly six months before the June 2026 application. Ordinary-month deposits are materially lower than the stated income. The September 9, 2025 through October 7, 2025 statement shows $9,891 in deposits, but much of that activity appears to be Zelle transfer activity from Kimberly Terrill and related outgoing transfers rather than clearly documented recurring business income.</w:t>
      </w:r>
    </w:p>
    <w:p>
      <w:pPr>
        <w:pStyle w:val="Heading2"/>
        <w:keepNext/>
        <w:spacing w:before="240" w:after="120"/>
      </w:pPr>
      <w:r>
        <w:rPr>
          <w:rFonts w:ascii="Calibri" w:hAnsi="Calibri"/>
          <w:b/>
          <w:color w:val="2E74B5"/>
          <w:sz w:val="26"/>
        </w:rPr>
        <w:t>Debt Burden</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7260"/>
            <w:gridSpan w:val="2"/>
            <w:shd w:fill="F2F4F7"/>
            <w:tcMar>
              <w:top w:w="80" w:type="dxa"/>
              <w:start w:w="120" w:type="dxa"/>
              <w:bottom w:w="80" w:type="dxa"/>
              <w:end w:w="120" w:type="dxa"/>
            </w:tcMar>
            <w:vAlign w:val="center"/>
          </w:tcPr>
          <w:p>
            <w:r>
              <w:rPr>
                <w:rFonts w:ascii="Calibri" w:hAnsi="Calibri"/>
                <w:b/>
                <w:color w:val="000000"/>
                <w:sz w:val="21"/>
              </w:rPr>
              <w:t>Credit Report Debt Summary</w:t>
            </w:r>
          </w:p>
        </w:tc>
      </w:tr>
      <w:tr>
        <w:tc>
          <w:tcPr>
            <w:tcW w:type="dxa" w:w="2100"/>
            <w:shd w:fill="F2F4F7"/>
            <w:tcMar>
              <w:top w:w="80" w:type="dxa"/>
              <w:start w:w="120" w:type="dxa"/>
              <w:bottom w:w="80" w:type="dxa"/>
              <w:end w:w="120" w:type="dxa"/>
            </w:tcMar>
            <w:vAlign w:val="center"/>
          </w:tcPr>
          <w:p>
            <w:r>
              <w:rPr>
                <w:rFonts w:ascii="Calibri" w:hAnsi="Calibri"/>
                <w:b/>
                <w:color w:val="000000"/>
                <w:sz w:val="21"/>
              </w:rPr>
              <w:t>Estimated monthly debt payments</w:t>
            </w:r>
          </w:p>
        </w:tc>
        <w:tc>
          <w:tcPr>
            <w:tcW w:type="dxa" w:w="7260"/>
            <w:tcMar>
              <w:top w:w="80" w:type="dxa"/>
              <w:start w:w="120" w:type="dxa"/>
              <w:bottom w:w="80" w:type="dxa"/>
              <w:end w:w="120" w:type="dxa"/>
            </w:tcMar>
            <w:vAlign w:val="center"/>
          </w:tcPr>
          <w:p>
            <w:r>
              <w:rPr>
                <w:rFonts w:ascii="Calibri" w:hAnsi="Calibri"/>
                <w:color w:val="000000"/>
                <w:sz w:val="21"/>
              </w:rPr>
              <w:t>$2,162</w:t>
            </w:r>
          </w:p>
        </w:tc>
      </w:tr>
      <w:tr>
        <w:tc>
          <w:tcPr>
            <w:tcW w:type="dxa" w:w="2100"/>
            <w:shd w:fill="F2F4F7"/>
            <w:tcMar>
              <w:top w:w="80" w:type="dxa"/>
              <w:start w:w="120" w:type="dxa"/>
              <w:bottom w:w="80" w:type="dxa"/>
              <w:end w:w="120" w:type="dxa"/>
            </w:tcMar>
            <w:vAlign w:val="center"/>
          </w:tcPr>
          <w:p>
            <w:r>
              <w:rPr>
                <w:rFonts w:ascii="Calibri" w:hAnsi="Calibri"/>
                <w:b/>
                <w:color w:val="000000"/>
                <w:sz w:val="21"/>
              </w:rPr>
              <w:t>Total debt</w:t>
            </w:r>
          </w:p>
        </w:tc>
        <w:tc>
          <w:tcPr>
            <w:tcW w:type="dxa" w:w="7260"/>
            <w:tcMar>
              <w:top w:w="80" w:type="dxa"/>
              <w:start w:w="120" w:type="dxa"/>
              <w:bottom w:w="80" w:type="dxa"/>
              <w:end w:w="120" w:type="dxa"/>
            </w:tcMar>
            <w:vAlign w:val="center"/>
          </w:tcPr>
          <w:p>
            <w:r>
              <w:rPr>
                <w:rFonts w:ascii="Calibri" w:hAnsi="Calibri"/>
                <w:color w:val="000000"/>
                <w:sz w:val="21"/>
              </w:rPr>
              <w:t>$86,790</w:t>
            </w:r>
          </w:p>
        </w:tc>
      </w:tr>
      <w:tr>
        <w:tc>
          <w:tcPr>
            <w:tcW w:type="dxa" w:w="2100"/>
            <w:shd w:fill="F2F4F7"/>
            <w:tcMar>
              <w:top w:w="80" w:type="dxa"/>
              <w:start w:w="120" w:type="dxa"/>
              <w:bottom w:w="80" w:type="dxa"/>
              <w:end w:w="120" w:type="dxa"/>
            </w:tcMar>
            <w:vAlign w:val="center"/>
          </w:tcPr>
          <w:p>
            <w:r>
              <w:rPr>
                <w:rFonts w:ascii="Calibri" w:hAnsi="Calibri"/>
                <w:b/>
                <w:color w:val="000000"/>
                <w:sz w:val="21"/>
              </w:rPr>
              <w:t>Open auto-loan balances</w:t>
            </w:r>
          </w:p>
        </w:tc>
        <w:tc>
          <w:tcPr>
            <w:tcW w:type="dxa" w:w="7260"/>
            <w:tcMar>
              <w:top w:w="80" w:type="dxa"/>
              <w:start w:w="120" w:type="dxa"/>
              <w:bottom w:w="80" w:type="dxa"/>
              <w:end w:w="120" w:type="dxa"/>
            </w:tcMar>
            <w:vAlign w:val="center"/>
          </w:tcPr>
          <w:p>
            <w:r>
              <w:rPr>
                <w:rFonts w:ascii="Calibri" w:hAnsi="Calibri"/>
                <w:color w:val="000000"/>
                <w:sz w:val="21"/>
              </w:rPr>
              <w:t>$16,536; $19,112; $22,864; $28,278</w:t>
            </w:r>
          </w:p>
        </w:tc>
      </w:tr>
      <w:tr>
        <w:tc>
          <w:tcPr>
            <w:tcW w:type="dxa" w:w="2100"/>
            <w:shd w:fill="F2F4F7"/>
            <w:tcMar>
              <w:top w:w="80" w:type="dxa"/>
              <w:start w:w="120" w:type="dxa"/>
              <w:bottom w:w="80" w:type="dxa"/>
              <w:end w:w="120" w:type="dxa"/>
            </w:tcMar>
            <w:vAlign w:val="center"/>
          </w:tcPr>
          <w:p>
            <w:r>
              <w:rPr>
                <w:rFonts w:ascii="Calibri" w:hAnsi="Calibri"/>
                <w:b/>
                <w:color w:val="000000"/>
                <w:sz w:val="21"/>
              </w:rPr>
              <w:t>Credit-card balance shown</w:t>
            </w:r>
          </w:p>
        </w:tc>
        <w:tc>
          <w:tcPr>
            <w:tcW w:type="dxa" w:w="7260"/>
            <w:tcMar>
              <w:top w:w="80" w:type="dxa"/>
              <w:start w:w="120" w:type="dxa"/>
              <w:bottom w:w="80" w:type="dxa"/>
              <w:end w:w="120" w:type="dxa"/>
            </w:tcMar>
            <w:vAlign w:val="center"/>
          </w:tcPr>
          <w:p>
            <w:r>
              <w:rPr>
                <w:rFonts w:ascii="Calibri" w:hAnsi="Calibri"/>
                <w:color w:val="000000"/>
                <w:sz w:val="21"/>
              </w:rPr>
              <w:t>$0 on Capital One account</w:t>
            </w:r>
          </w:p>
        </w:tc>
      </w:tr>
    </w:tbl>
    <w:p>
      <w:pPr>
        <w:spacing w:after="40"/>
      </w:pPr>
    </w:p>
    <w:p>
      <w:pPr>
        <w:pStyle w:val="Heading2"/>
        <w:keepNext/>
        <w:spacing w:before="240" w:after="120"/>
      </w:pPr>
      <w:r>
        <w:rPr>
          <w:rFonts w:ascii="Calibri" w:hAnsi="Calibri"/>
          <w:b/>
          <w:color w:val="2E74B5"/>
          <w:sz w:val="26"/>
        </w:rPr>
        <w:t>Payment Ratios</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7260"/>
            <w:gridSpan w:val="2"/>
            <w:shd w:fill="F2F4F7"/>
            <w:tcMar>
              <w:top w:w="80" w:type="dxa"/>
              <w:start w:w="120" w:type="dxa"/>
              <w:bottom w:w="80" w:type="dxa"/>
              <w:end w:w="120" w:type="dxa"/>
            </w:tcMar>
            <w:vAlign w:val="center"/>
          </w:tcPr>
          <w:p>
            <w:r>
              <w:rPr>
                <w:rFonts w:ascii="Calibri" w:hAnsi="Calibri"/>
                <w:b/>
                <w:color w:val="000000"/>
                <w:sz w:val="21"/>
              </w:rPr>
              <w:t>Ratio Test</w:t>
            </w:r>
          </w:p>
        </w:tc>
      </w:tr>
      <w:tr>
        <w:tc>
          <w:tcPr>
            <w:tcW w:type="dxa" w:w="2100"/>
            <w:shd w:fill="F2F4F7"/>
            <w:tcMar>
              <w:top w:w="80" w:type="dxa"/>
              <w:start w:w="120" w:type="dxa"/>
              <w:bottom w:w="80" w:type="dxa"/>
              <w:end w:w="120" w:type="dxa"/>
            </w:tcMar>
            <w:vAlign w:val="center"/>
          </w:tcPr>
          <w:p>
            <w:r>
              <w:rPr>
                <w:rFonts w:ascii="Calibri" w:hAnsi="Calibri"/>
                <w:b/>
                <w:color w:val="000000"/>
                <w:sz w:val="21"/>
              </w:rPr>
              <w:t>Housing ratio using stated income</w:t>
            </w:r>
          </w:p>
        </w:tc>
        <w:tc>
          <w:tcPr>
            <w:tcW w:type="dxa" w:w="7260"/>
            <w:tcMar>
              <w:top w:w="80" w:type="dxa"/>
              <w:start w:w="120" w:type="dxa"/>
              <w:bottom w:w="80" w:type="dxa"/>
              <w:end w:w="120" w:type="dxa"/>
            </w:tcMar>
            <w:vAlign w:val="center"/>
          </w:tcPr>
          <w:p>
            <w:r>
              <w:rPr>
                <w:rFonts w:ascii="Calibri" w:hAnsi="Calibri"/>
                <w:color w:val="000000"/>
                <w:sz w:val="21"/>
              </w:rPr>
              <w:t>$2,701 / $9,500 = 28.4%</w:t>
            </w:r>
          </w:p>
        </w:tc>
      </w:tr>
      <w:tr>
        <w:tc>
          <w:tcPr>
            <w:tcW w:type="dxa" w:w="2100"/>
            <w:shd w:fill="F2F4F7"/>
            <w:tcMar>
              <w:top w:w="80" w:type="dxa"/>
              <w:start w:w="120" w:type="dxa"/>
              <w:bottom w:w="80" w:type="dxa"/>
              <w:end w:w="120" w:type="dxa"/>
            </w:tcMar>
            <w:vAlign w:val="center"/>
          </w:tcPr>
          <w:p>
            <w:r>
              <w:rPr>
                <w:rFonts w:ascii="Calibri" w:hAnsi="Calibri"/>
                <w:b/>
                <w:color w:val="000000"/>
                <w:sz w:val="21"/>
              </w:rPr>
              <w:t>Back-end ratio using stated income</w:t>
            </w:r>
          </w:p>
        </w:tc>
        <w:tc>
          <w:tcPr>
            <w:tcW w:type="dxa" w:w="7260"/>
            <w:tcMar>
              <w:top w:w="80" w:type="dxa"/>
              <w:start w:w="120" w:type="dxa"/>
              <w:bottom w:w="80" w:type="dxa"/>
              <w:end w:w="120" w:type="dxa"/>
            </w:tcMar>
            <w:vAlign w:val="center"/>
          </w:tcPr>
          <w:p>
            <w:r>
              <w:rPr>
                <w:rFonts w:ascii="Calibri" w:hAnsi="Calibri"/>
                <w:color w:val="000000"/>
                <w:sz w:val="21"/>
              </w:rPr>
              <w:t>($2,701 + $2,162) / $9,500 = 51.2%</w:t>
            </w:r>
          </w:p>
        </w:tc>
      </w:tr>
      <w:tr>
        <w:tc>
          <w:tcPr>
            <w:tcW w:type="dxa" w:w="2100"/>
            <w:shd w:fill="F2F4F7"/>
            <w:tcMar>
              <w:top w:w="80" w:type="dxa"/>
              <w:start w:w="120" w:type="dxa"/>
              <w:bottom w:w="80" w:type="dxa"/>
              <w:end w:w="120" w:type="dxa"/>
            </w:tcMar>
            <w:vAlign w:val="center"/>
          </w:tcPr>
          <w:p>
            <w:r>
              <w:rPr>
                <w:rFonts w:ascii="Calibri" w:hAnsi="Calibri"/>
                <w:b/>
                <w:color w:val="000000"/>
                <w:sz w:val="21"/>
              </w:rPr>
              <w:t>Underwriting interpretation</w:t>
            </w:r>
          </w:p>
        </w:tc>
        <w:tc>
          <w:tcPr>
            <w:tcW w:type="dxa" w:w="7260"/>
            <w:tcMar>
              <w:top w:w="80" w:type="dxa"/>
              <w:start w:w="120" w:type="dxa"/>
              <w:bottom w:w="80" w:type="dxa"/>
              <w:end w:w="120" w:type="dxa"/>
            </w:tcMar>
            <w:vAlign w:val="center"/>
          </w:tcPr>
          <w:p>
            <w:r>
              <w:rPr>
                <w:rFonts w:ascii="Calibri" w:hAnsi="Calibri"/>
                <w:color w:val="000000"/>
                <w:sz w:val="21"/>
              </w:rPr>
              <w:t>The housing ratio may look plausible alone, but the back-end ratio is high for a conservative ability-to-repay file, especially with self-employed income that remains unverified.</w:t>
            </w:r>
          </w:p>
        </w:tc>
      </w:tr>
    </w:tbl>
    <w:p>
      <w:pPr>
        <w:spacing w:after="40"/>
      </w:pPr>
    </w:p>
    <w:p>
      <w:pPr>
        <w:pStyle w:val="Heading2"/>
        <w:keepNext/>
        <w:spacing w:before="240" w:after="120"/>
      </w:pPr>
      <w:r>
        <w:rPr>
          <w:rFonts w:ascii="Calibri" w:hAnsi="Calibri"/>
          <w:b/>
          <w:color w:val="2E74B5"/>
          <w:sz w:val="26"/>
        </w:rPr>
        <w:t>Cash To Close And Reserves</w:t>
      </w:r>
    </w:p>
    <w:p>
      <w:pPr>
        <w:spacing w:before="0" w:after="120" w:line="264" w:lineRule="auto"/>
      </w:pPr>
      <w:r>
        <w:rPr>
          <w:rFonts w:ascii="Calibri" w:hAnsi="Calibri"/>
          <w:b w:val="0"/>
          <w:color w:val="000000"/>
          <w:sz w:val="22"/>
        </w:rPr>
        <w:t>The file does not prove available cash for the $6,000 earnest money, the $20,790 total down payment, closing costs, post-closing reserves, or repair capacity after the buyer takes responsibility for the property. The bank statements generally show very low ending balances; the latest provided 2025 statement ending balance is $503.73.</w:t>
      </w:r>
    </w:p>
    <w:p>
      <w:pPr>
        <w:pStyle w:val="Heading1"/>
        <w:keepNext/>
        <w:spacing w:before="320" w:after="160"/>
      </w:pPr>
      <w:r>
        <w:rPr>
          <w:rFonts w:ascii="Calibri" w:hAnsi="Calibri"/>
          <w:b/>
          <w:color w:val="2E74B5"/>
          <w:sz w:val="32"/>
        </w:rPr>
        <w:t>Decision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EAEA"/>
            <w:tcMar>
              <w:top w:w="80" w:type="dxa"/>
              <w:start w:w="120" w:type="dxa"/>
              <w:bottom w:w="80" w:type="dxa"/>
              <w:end w:w="120" w:type="dxa"/>
            </w:tcMar>
            <w:vAlign w:val="center"/>
          </w:tcPr>
          <w:p>
            <w:pPr>
              <w:spacing w:after="80"/>
            </w:pPr>
            <w:r>
              <w:rPr>
                <w:rFonts w:ascii="Calibri" w:hAnsi="Calibri"/>
                <w:b/>
                <w:color w:val="9B1C1C"/>
                <w:sz w:val="22"/>
              </w:rPr>
              <w:t>Preliminary Decision</w:t>
            </w:r>
          </w:p>
          <w:p>
            <w:pPr>
              <w:spacing w:after="40" w:line="264" w:lineRule="auto"/>
            </w:pPr>
            <w:r>
              <w:rPr>
                <w:rFonts w:ascii="Calibri" w:hAnsi="Calibri"/>
                <w:color w:val="000000"/>
                <w:sz w:val="21"/>
              </w:rPr>
              <w:t>Do not approve the buyer from the current file. This is not necessarily a permanent final decline if Wes wants to request additional documentation, but the current package does not support a defensible approval.</w:t>
            </w:r>
          </w:p>
        </w:tc>
      </w:tr>
    </w:tbl>
    <w:p>
      <w:pPr>
        <w:spacing w:after="40"/>
      </w:pPr>
    </w:p>
    <w:p>
      <w:pPr>
        <w:spacing w:before="0" w:after="120" w:line="264" w:lineRule="auto"/>
      </w:pPr>
      <w:r>
        <w:rPr>
          <w:rFonts w:ascii="Calibri" w:hAnsi="Calibri"/>
          <w:b w:val="0"/>
          <w:color w:val="000000"/>
          <w:sz w:val="22"/>
        </w:rPr>
        <w:t>The key blockers are unverified self-employment income, a high back-end ratio even if the unverified income is used, stale 2025 bank statements, no proof of down payment or reserves, and unexplained transfer activity that should not be counted as stable income without support.</w:t>
      </w:r>
    </w:p>
    <w:p>
      <w:pPr>
        <w:pStyle w:val="Heading1"/>
        <w:keepNext/>
        <w:spacing w:before="320" w:after="160"/>
      </w:pPr>
      <w:r>
        <w:rPr>
          <w:rFonts w:ascii="Calibri" w:hAnsi="Calibri"/>
          <w:b/>
          <w:color w:val="2E74B5"/>
          <w:sz w:val="32"/>
        </w:rPr>
        <w:t>Documents Required Before Reconsideration</w:t>
      </w:r>
    </w:p>
    <w:p>
      <w:pPr>
        <w:pStyle w:val="ListNumber"/>
        <w:spacing w:after="160" w:line="280" w:lineRule="auto"/>
        <w:ind w:left="720" w:hanging="360"/>
      </w:pPr>
      <w:r>
        <w:rPr>
          <w:rFonts w:ascii="Calibri" w:hAnsi="Calibri"/>
          <w:color w:val="000000"/>
          <w:sz w:val="22"/>
        </w:rPr>
        <w:t>Legal name and ID for each buyer or obligor.</w:t>
      </w:r>
    </w:p>
    <w:p>
      <w:pPr>
        <w:pStyle w:val="ListNumber"/>
        <w:spacing w:after="160" w:line="280" w:lineRule="auto"/>
        <w:ind w:left="720" w:hanging="360"/>
      </w:pPr>
      <w:r>
        <w:rPr>
          <w:rFonts w:ascii="Calibri" w:hAnsi="Calibri"/>
          <w:color w:val="000000"/>
          <w:sz w:val="22"/>
        </w:rPr>
        <w:t>Current 2026 bank statements through the application month for every account used for business or household income.</w:t>
      </w:r>
    </w:p>
    <w:p>
      <w:pPr>
        <w:pStyle w:val="ListNumber"/>
        <w:spacing w:after="160" w:line="280" w:lineRule="auto"/>
        <w:ind w:left="720" w:hanging="360"/>
      </w:pPr>
      <w:r>
        <w:rPr>
          <w:rFonts w:ascii="Calibri" w:hAnsi="Calibri"/>
          <w:color w:val="000000"/>
          <w:sz w:val="22"/>
        </w:rPr>
        <w:t>Self-employment income package: tax returns, year-to-date profit-and-loss, 1099s, invoices, contracts, or customer/payment verification.</w:t>
      </w:r>
    </w:p>
    <w:p>
      <w:pPr>
        <w:pStyle w:val="ListNumber"/>
        <w:spacing w:after="160" w:line="280" w:lineRule="auto"/>
        <w:ind w:left="720" w:hanging="360"/>
      </w:pPr>
      <w:r>
        <w:rPr>
          <w:rFonts w:ascii="Calibri" w:hAnsi="Calibri"/>
          <w:color w:val="000000"/>
          <w:sz w:val="22"/>
        </w:rPr>
        <w:t>Explanation of Matthew Flooring LLC relationship and whether payments are wages, contractor payments, owner draws, or customer receipts.</w:t>
      </w:r>
    </w:p>
    <w:p>
      <w:pPr>
        <w:pStyle w:val="ListNumber"/>
        <w:spacing w:after="160" w:line="280" w:lineRule="auto"/>
        <w:ind w:left="720" w:hanging="360"/>
      </w:pPr>
      <w:r>
        <w:rPr>
          <w:rFonts w:ascii="Calibri" w:hAnsi="Calibri"/>
          <w:color w:val="000000"/>
          <w:sz w:val="22"/>
        </w:rPr>
        <w:t>Explanation and documentation for the Kimberly Terrill Zelle activity and outgoing "Yo Ever" transfers.</w:t>
      </w:r>
    </w:p>
    <w:p>
      <w:pPr>
        <w:pStyle w:val="ListNumber"/>
        <w:spacing w:after="160" w:line="280" w:lineRule="auto"/>
        <w:ind w:left="720" w:hanging="360"/>
      </w:pPr>
      <w:r>
        <w:rPr>
          <w:rFonts w:ascii="Calibri" w:hAnsi="Calibri"/>
          <w:color w:val="000000"/>
          <w:sz w:val="22"/>
        </w:rPr>
        <w:t>Current debt obligations and monthly payments, including whether the auto loans will remain after closing.</w:t>
      </w:r>
    </w:p>
    <w:p>
      <w:pPr>
        <w:pStyle w:val="ListNumber"/>
        <w:spacing w:after="160" w:line="280" w:lineRule="auto"/>
        <w:ind w:left="720" w:hanging="360"/>
      </w:pPr>
      <w:r>
        <w:rPr>
          <w:rFonts w:ascii="Calibri" w:hAnsi="Calibri"/>
          <w:color w:val="000000"/>
          <w:sz w:val="22"/>
        </w:rPr>
        <w:t>Proof of down payment, earnest money source, closing funds, and reserves.</w:t>
      </w:r>
    </w:p>
    <w:p>
      <w:pPr>
        <w:pStyle w:val="ListNumber"/>
        <w:spacing w:after="160" w:line="280" w:lineRule="auto"/>
        <w:ind w:left="720" w:hanging="360"/>
      </w:pPr>
      <w:r>
        <w:rPr>
          <w:rFonts w:ascii="Calibri" w:hAnsi="Calibri"/>
          <w:color w:val="000000"/>
          <w:sz w:val="22"/>
        </w:rPr>
        <w:t>Current rent ledger or rent-payment history for Tensity.</w:t>
      </w:r>
    </w:p>
    <w:p>
      <w:pPr>
        <w:pStyle w:val="ListNumber"/>
        <w:spacing w:after="160" w:line="280" w:lineRule="auto"/>
        <w:ind w:left="720" w:hanging="360"/>
      </w:pPr>
      <w:r>
        <w:rPr>
          <w:rFonts w:ascii="Calibri" w:hAnsi="Calibri"/>
          <w:color w:val="000000"/>
          <w:sz w:val="22"/>
        </w:rPr>
        <w:t>Final proposed payment schedule and escrow breakdown.</w:t>
      </w:r>
    </w:p>
    <w:p>
      <w:pPr>
        <w:pStyle w:val="ListNumber"/>
        <w:spacing w:after="160" w:line="280" w:lineRule="auto"/>
        <w:ind w:left="720" w:hanging="360"/>
      </w:pPr>
      <w:r>
        <w:rPr>
          <w:rFonts w:ascii="Calibri" w:hAnsi="Calibri"/>
          <w:color w:val="000000"/>
          <w:sz w:val="22"/>
        </w:rPr>
        <w:t>Attorney review of seller-financing compliance and any adverse-action or conditional-approval notice requirements.</w:t>
      </w:r>
    </w:p>
    <w:p>
      <w:pPr>
        <w:pStyle w:val="Heading1"/>
        <w:keepNext/>
        <w:spacing w:before="320" w:after="160"/>
      </w:pPr>
      <w:r>
        <w:rPr>
          <w:rFonts w:ascii="Calibri" w:hAnsi="Calibri"/>
          <w:b/>
          <w:color w:val="2E74B5"/>
          <w:sz w:val="32"/>
        </w:rPr>
        <w:t>Compliance And Use Limitations</w:t>
      </w:r>
    </w:p>
    <w:p>
      <w:pPr>
        <w:pStyle w:val="ListBullet"/>
        <w:spacing w:after="160" w:line="280" w:lineRule="auto"/>
        <w:ind w:left="720" w:hanging="360"/>
      </w:pPr>
      <w:r>
        <w:rPr>
          <w:rFonts w:ascii="Calibri" w:hAnsi="Calibri"/>
          <w:color w:val="000000"/>
          <w:sz w:val="22"/>
        </w:rPr>
        <w:t>This report is a preliminary business and file-completeness review, not legal advice.</w:t>
      </w:r>
    </w:p>
    <w:p>
      <w:pPr>
        <w:pStyle w:val="ListBullet"/>
        <w:spacing w:after="160" w:line="280" w:lineRule="auto"/>
        <w:ind w:left="720" w:hanging="360"/>
      </w:pPr>
      <w:r>
        <w:rPr>
          <w:rFonts w:ascii="Calibri" w:hAnsi="Calibri"/>
          <w:color w:val="000000"/>
          <w:sz w:val="22"/>
        </w:rPr>
        <w:t>Attorney review remains required for seller-financer, Dodd-Frank, Regulation Z, North Carolina law, and adverse-action notice questions.</w:t>
      </w:r>
    </w:p>
    <w:p>
      <w:pPr>
        <w:pStyle w:val="ListBullet"/>
        <w:spacing w:after="160" w:line="280" w:lineRule="auto"/>
        <w:ind w:left="720" w:hanging="360"/>
      </w:pPr>
      <w:r>
        <w:rPr>
          <w:rFonts w:ascii="Calibri" w:hAnsi="Calibri"/>
          <w:color w:val="000000"/>
          <w:sz w:val="22"/>
        </w:rPr>
        <w:t>If the buyer is declined or approved only with changed terms, counsel should confirm whether Equal Credit Opportunity Act or Fair Credit Reporting Act notices are required.</w:t>
      </w:r>
    </w:p>
    <w:p>
      <w:pPr>
        <w:pStyle w:val="ListBullet"/>
        <w:spacing w:after="160" w:line="280" w:lineRule="auto"/>
        <w:ind w:left="720" w:hanging="360"/>
      </w:pPr>
      <w:r>
        <w:rPr>
          <w:rFonts w:ascii="Calibri" w:hAnsi="Calibri"/>
          <w:color w:val="000000"/>
          <w:sz w:val="22"/>
        </w:rPr>
        <w:t>Any approval reconsideration should be documented with a fresh ability-to-repay worksheet using verified current income and reserve evidence.</w:t>
      </w:r>
    </w:p>
    <w:p>
      <w:pPr>
        <w:pStyle w:val="Heading1"/>
        <w:keepNext/>
        <w:spacing w:before="320" w:after="160"/>
      </w:pPr>
      <w:r>
        <w:rPr>
          <w:rFonts w:ascii="Calibri" w:hAnsi="Calibri"/>
          <w:b/>
          <w:color w:val="2E74B5"/>
          <w:sz w:val="32"/>
        </w:rPr>
        <w:t>Prepared By</w:t>
      </w:r>
    </w:p>
    <w:p>
      <w:pPr>
        <w:spacing w:before="0" w:after="120" w:line="264" w:lineRule="auto"/>
      </w:pPr>
      <w:r>
        <w:rPr>
          <w:rFonts w:ascii="Calibri" w:hAnsi="Calibri"/>
          <w:b/>
          <w:color w:val="000000"/>
          <w:sz w:val="22"/>
        </w:rPr>
        <w:t>Investment Services, LLC</w:t>
      </w:r>
    </w:p>
    <w:p>
      <w:pPr>
        <w:spacing w:before="0" w:after="120" w:line="264" w:lineRule="auto"/>
      </w:pPr>
      <w:r>
        <w:rPr>
          <w:rFonts w:ascii="Calibri" w:hAnsi="Calibri"/>
          <w:b w:val="0"/>
          <w:color w:val="000000"/>
          <w:sz w:val="22"/>
        </w:rPr>
        <w:t>For internal Buy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5A5A"/>
        <w:sz w:val="17"/>
      </w:rPr>
      <w:t>Confidential preliminary review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Creditworthiness Evaluation Report - 320 Rose Pl</dc:title>
  <dc:subject>Preliminary buyer creditworthiness evaluation for proposed seller-financed purchase</dc:subject>
  <dc:creator>Investment Services, LLC</dc:creator>
  <cp:keywords/>
  <dc:description>Prepared by Investment Services, LLC from project room source materials.</dc:description>
  <cp:lastModifiedBy>Investment Services, LLC</cp:lastModifiedBy>
  <cp:revision>1</cp:revision>
  <dcterms:created xsi:type="dcterms:W3CDTF">2013-12-23T23:15:00Z</dcterms:created>
  <dcterms:modified xsi:type="dcterms:W3CDTF">2013-12-23T23:15:00Z</dcterms:modified>
  <cp:category/>
</cp:coreProperties>
</file>