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jc w:val="center"/>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left="259"/>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pPr>
        <w:pStyle w:val="SpanishTranslationDraft"/>
        <w:jc w:val="center"/>
      </w:pPr>
      <w:r>
        <w:rPr>
          <w:rFonts w:ascii="Arial" w:hAnsi="Arial"/>
          <w:color w:val="0066CC"/>
          <w:sz w:val="18"/>
        </w:rPr>
        <w:t>320 Rose Pl Real Estate Trust de fecha 5 de marzo de 2025, por medio de Investment Services LLC, Fiduciario, (Vendedor)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left="259"/>
      </w:pPr>
      <w:r>
        <w:rPr>
          <w:rFonts w:ascii="Arial" w:hAnsi="Arial"/>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pPr>
        <w:pStyle w:val="SpanishTranslationDraft"/>
        <w:ind w:left="979"/>
      </w:pPr>
      <w:r>
        <w:rPr>
          <w:rFonts w:ascii="Arial" w:hAnsi="Arial"/>
          <w:color w:val="0066CC"/>
          <w:sz w:val="1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pPr>
        <w:pStyle w:val="SpanishTranslationDraft"/>
        <w:ind w:left="979"/>
      </w:pPr>
      <w:r>
        <w:rPr>
          <w:rFonts w:ascii="Arial" w:hAnsi="Arial"/>
          <w:color w:val="0066CC"/>
          <w:sz w:val="18"/>
        </w:rPr>
        <w:t>Suite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left="259"/>
      </w:pPr>
      <w:r>
        <w:rPr>
          <w:rFonts w:ascii="Arial" w:hAnsi="Arial"/>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pPr>
        <w:pStyle w:val="SpanishTranslationDraft"/>
        <w:jc w:val="center"/>
      </w:pPr>
      <w:r>
        <w:rPr>
          <w:rFonts w:ascii="Arial" w:hAnsi="Arial"/>
          <w:color w:val="0066CC"/>
          <w:sz w:val="18"/>
        </w:rPr>
        <w:t>Ever Amarildo Cardoza Bolanos y Maria Geraldina Sarmiento, (Comprador)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pPr>
        <w:pStyle w:val="SpanishTranslationDraft"/>
        <w:ind w:left="259"/>
      </w:pPr>
      <w:r>
        <w:rPr>
          <w:rFonts w:ascii="Arial" w:hAnsi="Arial"/>
          <w:color w:val="0066CC"/>
          <w:sz w:val="18"/>
        </w:rPr>
        <w:t>Direccion:</w:t>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pPr>
        <w:pStyle w:val="SpanishTranslationDraft"/>
        <w:ind w:left="979"/>
      </w:pPr>
      <w:r>
        <w:rPr>
          <w:rFonts w:ascii="Arial" w:hAnsi="Arial"/>
          <w:color w:val="0066CC"/>
          <w:sz w:val="1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pPr>
        <w:pStyle w:val="SpanishTranslationDraft"/>
        <w:ind w:left="979"/>
      </w:pPr>
      <w:r>
        <w:rPr>
          <w:rFonts w:ascii="Arial" w:hAnsi="Arial"/>
          <w:color w:val="0066CC"/>
          <w:sz w:val="1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left="259"/>
      </w:pPr>
      <w:r>
        <w:rPr>
          <w:rFonts w:ascii="Arial" w:hAnsi="Arial"/>
          <w:color w:val="0066CC"/>
          <w:sz w:val="18"/>
        </w:rPr>
        <w:t>Fecha del Contrato: Este contrato de compraventa con escritura diferida se celebra y entra en vigor en la fecha de la ultima firma indicada debajo de la firma de cada parte.</w:t>
      </w:r>
    </w:p>
    <w:p>
      <w:pPr>
        <w:pStyle w:val="SpanishTranslationDraft"/>
        <w:ind w:left="259"/>
      </w:pPr>
      <w:r>
        <w:rPr>
          <w:rFonts w:ascii="Arial" w:hAnsi="Arial"/>
          <w:color w:val="0066CC"/>
          <w:sz w:val="18"/>
        </w:rPr>
        <w:t>English Version Controls: The Spanish-language text in this bilingual draft is provided as a draft convenience translation only. If there is any conflict between the English text and the Spanish text, the English text controls. The Spanish text is not a certified legal translation unless separately approved by Wes, counsel, or a qualified translator.</w:t>
      </w:r>
    </w:p>
    <w:p>
      <w:pPr>
        <w:pStyle w:val="SpanishTranslationDraft"/>
        <w:ind w:left="259"/>
      </w:pPr>
      <w:r>
        <w:rPr>
          <w:rFonts w:ascii="Arial" w:hAnsi="Arial"/>
          <w:color w:val="0066CC"/>
          <w:sz w:val="18"/>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left="259"/>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pPr>
        <w:pStyle w:val="SpanishTranslationDraft"/>
        <w:ind w:left="259"/>
      </w:pPr>
      <w:r>
        <w:rPr>
          <w:rFonts w:ascii="Arial" w:hAnsi="Arial"/>
          <w:color w:val="0066CC"/>
          <w:sz w:val="18"/>
        </w:rPr>
        <w:t>Direccion de la propiedad:</w:t>
      </w:r>
    </w:p>
    <w:p w14:paraId="02FAAF7F" w14:textId="77777777" w:rsidR="00EC4D1A" w:rsidRPr="000E041A" w:rsidRDefault="00EC4D1A" w:rsidP="00BC5A07">
      <w:pPr>
        <w:ind w:firstLine="720"/>
        <w:rPr>
          <w:szCs w:val="28"/>
        </w:rPr>
      </w:pPr>
      <w:r w:rsidRPr="000E041A">
        <w:rPr>
          <w:noProof/>
          <w:szCs w:val="28"/>
        </w:rPr>
        <w:t>320 Rose Pl</w:t>
      </w:r>
    </w:p>
    <w:p>
      <w:pPr>
        <w:pStyle w:val="SpanishTranslationDraft"/>
        <w:ind w:left="259"/>
      </w:pPr>
      <w:r>
        <w:rPr>
          <w:rFonts w:ascii="Arial" w:hAnsi="Arial"/>
          <w:color w:val="0066CC"/>
          <w:sz w:val="18"/>
        </w:rPr>
        <w:t>320 Rose Pl</w:t>
      </w:r>
    </w:p>
    <w:p w14:paraId="662B5235" w14:textId="77777777" w:rsidR="00EC4D1A" w:rsidRPr="000E041A" w:rsidRDefault="00EC4D1A" w:rsidP="00BC5A07">
      <w:pPr>
        <w:ind w:firstLine="720"/>
        <w:rPr>
          <w:szCs w:val="28"/>
        </w:rPr>
      </w:pPr>
      <w:r w:rsidRPr="000E041A">
        <w:rPr>
          <w:noProof/>
          <w:szCs w:val="28"/>
        </w:rPr>
        <w:t>Wendell, NC 27591</w:t>
      </w:r>
    </w:p>
    <w:p>
      <w:pPr>
        <w:pStyle w:val="SpanishTranslationDraft"/>
        <w:ind w:left="259"/>
      </w:pPr>
      <w:r>
        <w:rPr>
          <w:rFonts w:ascii="Arial" w:hAnsi="Arial"/>
          <w:color w:val="0066CC"/>
          <w:sz w:val="1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pPr>
        <w:pStyle w:val="SpanishTranslationDraft"/>
        <w:ind w:left="259"/>
      </w:pPr>
      <w:r>
        <w:rPr>
          <w:rFonts w:ascii="Arial" w:hAnsi="Arial"/>
          <w:color w:val="0066CC"/>
          <w:sz w:val="18"/>
        </w:rPr>
        <w:t>Descripcion legal</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pPr>
        <w:pStyle w:val="SpanishTranslationDraft"/>
        <w:ind w:left="979"/>
      </w:pPr>
      <w:r>
        <w:rPr>
          <w:rFonts w:ascii="Arial" w:hAnsi="Arial"/>
          <w:color w:val="0066CC"/>
          <w:sz w:val="1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pPr>
        <w:pStyle w:val="SpanishTranslationDraft"/>
        <w:ind w:left="259"/>
      </w:pPr>
      <w:r>
        <w:rPr>
          <w:rFonts w:ascii="Arial" w:hAnsi="Arial"/>
          <w:color w:val="0066CC"/>
          <w:sz w:val="18"/>
        </w:rPr>
        <w:t>Condado de: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left="259"/>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pPr>
        <w:pStyle w:val="SpanishTranslationDraft"/>
        <w:ind w:left="979"/>
      </w:pPr>
      <w:r>
        <w:rPr>
          <w:rFonts w:ascii="Arial" w:hAnsi="Arial"/>
          <w:color w:val="0066CC"/>
          <w:sz w:val="18"/>
        </w:rPr>
        <w:t>Deposito de arras que el Comprador pagara al firmar este Contrato. Estas arras permaneceran como deposito de compromiso hasta el cierre, salvo que se pierdan o se devuelvan antes de acuerdo con las disposiciones de este Contrato, y se acreditaran al pago inicial total.</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pPr>
        <w:pStyle w:val="SpanishTranslationDraft"/>
        <w:ind w:left="979"/>
      </w:pPr>
      <w:r>
        <w:rPr>
          <w:rFonts w:ascii="Arial" w:hAnsi="Arial"/>
          <w:color w:val="0066CC"/>
          <w:sz w:val="18"/>
        </w:rPr>
        <w:t>Saldo restante del pago inicial pagadero al cierre.</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pPr>
        <w:pStyle w:val="SpanishTranslationDraft"/>
        <w:ind w:left="979"/>
      </w:pPr>
      <w:r>
        <w:rPr>
          <w:rFonts w:ascii="Arial" w:hAnsi="Arial"/>
          <w:color w:val="0066CC"/>
          <w:sz w:val="18"/>
        </w:rPr>
        <w:t>Saldo pagadero cuando el Vendedor desocupe la propiedad o en la fecha de cierre, lo que ocurra ultimo, (sin incluir los costos de cierre del Comprador, partidas prepagadas</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pPr>
        <w:pStyle w:val="SpanishTranslationDraft"/>
        <w:ind w:left="979"/>
      </w:pPr>
      <w:r>
        <w:rPr>
          <w:rFonts w:ascii="Arial" w:hAnsi="Arial"/>
          <w:color w:val="0066CC"/>
          <w:sz w:val="18"/>
        </w:rPr>
        <w:t>o prorrateos) en efectivo de los Estados Unidos o mediante cheque certificado o de caja emitido localmente, aproximadamente</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pPr>
        <w:pStyle w:val="SpanishTranslationDraft"/>
        <w:ind w:left="979"/>
      </w:pPr>
      <w:r>
        <w:rPr>
          <w:rFonts w:ascii="Arial" w:hAnsi="Arial"/>
          <w:color w:val="0066CC"/>
          <w:sz w:val="18"/>
        </w:rPr>
        <w:t>Fondos provenientes de un nuevo prestamo que el Comprador obtendra de cualquier prestamista que no sea el Vendedor.</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pPr>
        <w:pStyle w:val="SpanishTranslationDraft"/>
        <w:ind w:left="979"/>
      </w:pPr>
      <w:r>
        <w:rPr>
          <w:rFonts w:ascii="Arial" w:hAnsi="Arial"/>
          <w:color w:val="0066CC"/>
          <w:sz w:val="18"/>
        </w:rPr>
        <w:t>Prestamo de precio de compra al Vendedor conforme a los terminos establecidos en el Parrafo 2B.</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pPr>
        <w:pStyle w:val="SpanishTranslationDraft"/>
        <w:ind w:left="979"/>
      </w:pPr>
      <w:r>
        <w:rPr>
          <w:rFonts w:ascii="Arial" w:hAnsi="Arial"/>
          <w:color w:val="0066CC"/>
          <w:sz w:val="18"/>
        </w:rPr>
        <w:t>Otro financiamiento</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pPr>
        <w:pStyle w:val="SpanishTranslationDraft"/>
        <w:ind w:left="979"/>
      </w:pPr>
      <w:r>
        <w:rPr>
          <w:rFonts w:ascii="Arial" w:hAnsi="Arial"/>
          <w:color w:val="0066CC"/>
          <w:sz w:val="18"/>
        </w:rPr>
        <w:t>Saldo hipotecario existente que grava la Propiedad y que el Comprador aceptara sujeto al mismo (aproximadamente).</w:t>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pPr>
        <w:pStyle w:val="SpanishTranslationDraft"/>
        <w:ind w:left="979"/>
      </w:pPr>
      <w:r>
        <w:rPr>
          <w:rFonts w:ascii="Arial" w:hAnsi="Arial"/>
          <w:color w:val="0066CC"/>
          <w:sz w:val="18"/>
        </w:rPr>
        <w:t>Precio total de compra - exacto</w:t>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left="259"/>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pPr>
        <w:pStyle w:val="SpanishTranslationDraft"/>
        <w:ind w:left="259"/>
      </w:pPr>
      <w:r>
        <w:rPr>
          <w:rFonts w:ascii="Arial" w:hAnsi="Arial"/>
          <w:color w:val="0066CC"/>
          <w:sz w:val="18"/>
        </w:rPr>
        <w:t>El Comprador pagara las siguientes opciones, si corresponden:</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pPr>
        <w:pStyle w:val="SpanishTranslationDraft"/>
        <w:ind w:left="2059"/>
      </w:pPr>
      <w:r>
        <w:rPr>
          <w:rFonts w:ascii="Arial" w:hAnsi="Arial"/>
          <w:color w:val="0066CC"/>
          <w:sz w:val="18"/>
        </w:rPr>
        <w:t>[X] Tasacion   [X] Levantamiento topografico</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pPr>
        <w:pStyle w:val="SpanishTranslationDraft"/>
        <w:ind w:left="2059"/>
      </w:pPr>
      <w:r>
        <w:rPr>
          <w:rFonts w:ascii="Arial" w:hAnsi="Arial"/>
          <w:color w:val="0066CC"/>
          <w:sz w:val="18"/>
        </w:rPr>
        <w:t>[X] Informe de organismos destructores de madera   [X] Honorarios de corretaje inmobiliario</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pPr>
        <w:pStyle w:val="SpanishTranslationDraft"/>
        <w:ind w:left="2059"/>
      </w:pPr>
      <w:r>
        <w:rPr>
          <w:rFonts w:ascii="Arial" w:hAnsi="Arial"/>
          <w:color w:val="0066CC"/>
          <w:sz w:val="18"/>
        </w:rPr>
        <w:t>[X] Impuesto de transferencia</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pPr>
        <w:pStyle w:val="SpanishTranslationDraft"/>
        <w:ind w:left="2059"/>
      </w:pPr>
      <w:r>
        <w:rPr>
          <w:rFonts w:ascii="Arial" w:hAnsi="Arial"/>
          <w:color w:val="0066CC"/>
          <w:sz w:val="18"/>
        </w:rPr>
        <w:t>[   ] Otro______________________________________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pPr>
        <w:pStyle w:val="SpanishTranslationDraft"/>
        <w:ind w:left="259"/>
      </w:pPr>
      <w:r>
        <w:rPr>
          <w:rFonts w:ascii="Arial" w:hAnsi="Arial"/>
          <w:color w:val="0066CC"/>
          <w:sz w:val="18"/>
        </w:rPr>
        <w:t>El Vendedor pagara:</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pPr>
        <w:pStyle w:val="SpanishTranslationDraft"/>
        <w:ind w:left="2059"/>
      </w:pPr>
      <w:r>
        <w:rPr>
          <w:rFonts w:ascii="Arial" w:hAnsi="Arial"/>
          <w:color w:val="0066CC"/>
          <w:sz w:val="18"/>
        </w:rPr>
        <w:t>[X] Costos de cierre</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pPr>
        <w:pStyle w:val="SpanishTranslationDraft"/>
        <w:ind w:left="2059"/>
      </w:pPr>
      <w:r>
        <w:rPr>
          <w:rFonts w:ascii="Arial" w:hAnsi="Arial"/>
          <w:color w:val="0066CC"/>
          <w:sz w:val="18"/>
        </w:rPr>
        <w:t>[X] Poliza de seguro de titulo   [X] Honorarios de abogado</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pPr>
        <w:pStyle w:val="SpanishTranslationDraft"/>
        <w:ind w:left="2059"/>
      </w:pPr>
      <w:r>
        <w:rPr>
          <w:rFonts w:ascii="Arial" w:hAnsi="Arial"/>
          <w:color w:val="0066CC"/>
          <w:sz w:val="18"/>
        </w:rPr>
        <w:t>[X] Costos de cierre   [X] Gastos de registro</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pPr>
        <w:pStyle w:val="SpanishTranslationDraft"/>
        <w:ind w:left="2059"/>
      </w:pPr>
      <w:r>
        <w:rPr>
          <w:rFonts w:ascii="Arial" w:hAnsi="Arial"/>
          <w:color w:val="0066CC"/>
          <w:sz w:val="18"/>
        </w:rPr>
        <w:t>[X] Timbres del pagare   [X] Impuesto intangible</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pPr>
        <w:pStyle w:val="SpanishTranslationDraft"/>
        <w:ind w:left="2059"/>
      </w:pPr>
      <w:r>
        <w:rPr>
          <w:rFonts w:ascii="Arial" w:hAnsi="Arial"/>
          <w:color w:val="0066CC"/>
          <w:sz w:val="18"/>
        </w:rPr>
        <w:t>[X] Cancelacion y gastos de registro</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pPr>
        <w:pStyle w:val="SpanishTranslationDraft"/>
        <w:ind w:left="2059"/>
      </w:pPr>
      <w:r>
        <w:rPr>
          <w:rFonts w:ascii="Arial" w:hAnsi="Arial"/>
          <w:color w:val="0066CC"/>
          <w:sz w:val="18"/>
        </w:rPr>
        <w:t>[   ] Informes de credito   [   ] Cargo de originacion del prestamo</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pPr>
        <w:pStyle w:val="SpanishTranslationDraft"/>
        <w:ind w:left="2059"/>
      </w:pPr>
      <w:r>
        <w:rPr>
          <w:rFonts w:ascii="Arial" w:hAnsi="Arial"/>
          <w:color w:val="0066CC"/>
          <w:sz w:val="18"/>
        </w:rPr>
        <w:t>[   ] Prima de seguro del prestamo   [   ] Otro_________________________________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pPr>
        <w:pStyle w:val="SpanishTranslationDraft"/>
        <w:ind w:left="2059"/>
      </w:pPr>
      <w:r>
        <w:rPr>
          <w:rFonts w:ascii="Arial" w:hAnsi="Arial"/>
          <w:color w:val="0066CC"/>
          <w:sz w:val="18"/>
        </w:rPr>
        <w:t>[  ] Todos los demas cargos requeridos por el prestamista que la ley o regulacion prohibe que pague el Comprador.</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pPr>
        <w:pStyle w:val="SpanishTranslationDraft"/>
        <w:ind w:left="2059"/>
      </w:pPr>
      <w:r>
        <w:rPr>
          <w:rFonts w:ascii="Arial" w:hAnsi="Arial"/>
          <w:color w:val="0066CC"/>
          <w:sz w:val="18"/>
        </w:rPr>
        <w:t>[   ] Reparaciones o reemplazos, ademas de los indicados en el parrafo 9, que no excedan de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pPr>
        <w:pStyle w:val="SpanishTranslationDraft"/>
        <w:ind w:left="2059"/>
      </w:pPr>
      <w:r>
        <w:rPr>
          <w:rFonts w:ascii="Arial" w:hAnsi="Arial"/>
          <w:color w:val="0066CC"/>
          <w:sz w:val="18"/>
        </w:rPr>
        <w:t>[   ] Todos los pagos hipotecarios o cuotas de condominio y asociacion estaran al dia por cuenta del Vendedor al momento del cierre.</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left="259"/>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left="259"/>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pPr>
        <w:pStyle w:val="SpanishTranslationDraft"/>
        <w:ind w:left="889"/>
      </w:pPr>
      <w:r>
        <w:rPr>
          <w:rFonts w:ascii="Arial" w:hAnsi="Arial"/>
          <w:color w:val="0066CC"/>
          <w:sz w:val="18"/>
        </w:rPr>
        <w:t>(*) Los valores del seguro de la propiedad y del impuesto a la propiedad son correctos solo para el ano del contrato y se ajustaran anualmente.</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left="259"/>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left="259"/>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ind w:left="259"/>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ind w:left="619"/>
      </w:pPr>
      <w:r>
        <w:rPr>
          <w:rFonts w:ascii="Arial" w:hAnsi="Arial"/>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jc w:val="center"/>
      </w:pPr>
      <w:r>
        <w:rPr>
          <w:rFonts w:ascii="Arial" w:hAnsi="Arial"/>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left="259"/>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left="259"/>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left="259"/>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left="259"/>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left="259"/>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left="259"/>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ind w:left="619"/>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left="259"/>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left="259"/>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pPr>
        <w:pStyle w:val="SpanishTranslationDraft"/>
        <w:ind w:left="1339"/>
      </w:pPr>
      <w:r>
        <w:rPr>
          <w:rFonts w:ascii="Arial" w:hAnsi="Arial"/>
          <w:color w:val="0066CC"/>
          <w:sz w:val="18"/>
        </w:rPr>
        <w:t>[ ] __________________,</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pPr>
        <w:pStyle w:val="SpanishTranslationDraft"/>
        <w:ind w:left="1339"/>
      </w:pPr>
      <w:r>
        <w:rPr>
          <w:rFonts w:ascii="Arial" w:hAnsi="Arial"/>
          <w:color w:val="0066CC"/>
          <w:sz w:val="18"/>
        </w:rPr>
        <w:t>[X] 15 dias despues de la fecha de aceptacion, o</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pPr>
        <w:pStyle w:val="SpanishTranslationDraft"/>
        <w:ind w:left="1339"/>
      </w:pPr>
      <w:r>
        <w:rPr>
          <w:rFonts w:ascii="Arial" w:hAnsi="Arial"/>
          <w:color w:val="0066CC"/>
          <w:sz w:val="18"/>
        </w:rPr>
        <w:t>[   ] _____________ dias despues de la fecha en que se cumplan todas las condiciones de la seccion Terminos, Condiciones o Anexos Adicionales, salvo que se extienda por otras condiciones de este Contrato o que este contrato sea cancelado por el Comprador.</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left="259"/>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left="259"/>
      </w:pPr>
      <w:r>
        <w:rPr>
          <w:rFonts w:ascii="Arial" w:hAnsi="Arial"/>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ind w:left="259"/>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left="259"/>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left="259"/>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left="259"/>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left="259"/>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left="259"/>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left="259"/>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left="259"/>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left="889"/>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left="889"/>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left="259"/>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