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UPDATED CREDITWORTHINESS EVALUATION REPORT</w:t>
      </w:r>
    </w:p>
    <w:p>
      <w:r>
        <w:rPr>
          <w:b w:val="0"/>
          <w:i w:val="0"/>
        </w:rPr>
        <w:t>Conditional Evidence-Mode Rerun for Ever Amarildo Cardoza Bolanos - 320 Rose Pl / Rose Place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Prepared by</w:t>
            </w:r>
          </w:p>
        </w:tc>
        <w:tc>
          <w:tcPr>
            <w:tcW w:type="dxa" w:w="4968"/>
            <w:vAlign w:val="center"/>
          </w:tcPr>
          <w:p>
            <w:r>
              <w:rPr>
                <w:rFonts w:ascii="Aptos" w:hAnsi="Aptos"/>
                <w:b/>
                <w:sz w:val="19"/>
              </w:rPr>
              <w:t>Investment Services, LLC</w:t>
            </w:r>
          </w:p>
        </w:tc>
      </w:tr>
      <w:tr>
        <w:tc>
          <w:tcPr>
            <w:tcW w:type="dxa" w:w="4968"/>
            <w:vAlign w:val="center"/>
          </w:tcPr>
          <w:p>
            <w:r>
              <w:rPr>
                <w:rFonts w:ascii="Aptos" w:hAnsi="Aptos"/>
                <w:sz w:val="19"/>
              </w:rPr>
              <w:t>Report date</w:t>
            </w:r>
          </w:p>
        </w:tc>
        <w:tc>
          <w:tcPr>
            <w:tcW w:type="dxa" w:w="4968"/>
            <w:vAlign w:val="center"/>
          </w:tcPr>
          <w:p>
            <w:r>
              <w:rPr>
                <w:rFonts w:ascii="Aptos" w:hAnsi="Aptos"/>
                <w:sz w:val="19"/>
              </w:rPr>
              <w:t>June 9, 2026</w:t>
            </w:r>
          </w:p>
        </w:tc>
      </w:tr>
      <w:tr>
        <w:tc>
          <w:tcPr>
            <w:tcW w:type="dxa" w:w="4968"/>
            <w:vAlign w:val="center"/>
          </w:tcPr>
          <w:p>
            <w:r>
              <w:rPr>
                <w:rFonts w:ascii="Aptos" w:hAnsi="Aptos"/>
                <w:sz w:val="19"/>
              </w:rPr>
              <w:t>Subject buyer</w:t>
            </w:r>
          </w:p>
        </w:tc>
        <w:tc>
          <w:tcPr>
            <w:tcW w:type="dxa" w:w="4968"/>
            <w:vAlign w:val="center"/>
          </w:tcPr>
          <w:p>
            <w:r>
              <w:rPr>
                <w:rFonts w:ascii="Aptos" w:hAnsi="Aptos"/>
                <w:sz w:val="19"/>
              </w:rPr>
              <w:t>Ever Amarildo Cardoza Bolanos</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 Rose Place</w:t>
            </w:r>
          </w:p>
        </w:tc>
      </w:tr>
      <w:tr>
        <w:tc>
          <w:tcPr>
            <w:tcW w:type="dxa" w:w="4968"/>
            <w:vAlign w:val="center"/>
          </w:tcPr>
          <w:p>
            <w:r>
              <w:rPr>
                <w:rFonts w:ascii="Aptos" w:hAnsi="Aptos"/>
                <w:sz w:val="19"/>
              </w:rPr>
              <w:t>Purpose</w:t>
            </w:r>
          </w:p>
        </w:tc>
        <w:tc>
          <w:tcPr>
            <w:tcW w:type="dxa" w:w="4968"/>
            <w:vAlign w:val="center"/>
          </w:tcPr>
          <w:p>
            <w:r>
              <w:rPr>
                <w:rFonts w:ascii="Aptos" w:hAnsi="Aptos"/>
                <w:sz w:val="19"/>
              </w:rPr>
              <w:t>Conditional evidence-mode rerun from file-based CFD kickoff using the live project spreadsheet and buyer source folder.</w:t>
            </w:r>
          </w:p>
        </w:tc>
      </w:tr>
      <w:tr>
        <w:tc>
          <w:tcPr>
            <w:tcW w:type="dxa" w:w="4968"/>
            <w:vAlign w:val="center"/>
          </w:tcPr>
          <w:p>
            <w:r>
              <w:rPr>
                <w:rFonts w:ascii="Aptos" w:hAnsi="Aptos"/>
                <w:sz w:val="19"/>
              </w:rPr>
              <w:t>Overall result</w:t>
            </w:r>
          </w:p>
        </w:tc>
        <w:tc>
          <w:tcPr>
            <w:tcW w:type="dxa" w:w="4968"/>
            <w:vAlign w:val="center"/>
          </w:tcPr>
          <w:p>
            <w:r>
              <w:rPr>
                <w:rFonts w:ascii="Aptos" w:hAnsi="Aptos"/>
                <w:sz w:val="19"/>
              </w:rPr>
              <w:t>Conditional approval / conditional reconsideration supportable for continued CFD preparation; not final approval-ready until conditions are satisfied.</w:t>
            </w:r>
          </w:p>
        </w:tc>
      </w:tr>
    </w:tbl>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Executive Recommendation</w:t>
              <w:br/>
              <w:t>Investment Services, LLC recommends continued Contract for Deed preparation on a conditional basis only. The file supports conditional approval / conditional reconsideration, but not unconditional approval, until final signed/notarized affidavits, funds-to-close proof, final legal-name spelling, and attorney/compliance review are complete. Maria Geraldine Sarmiento is treated as Buyer 2 and a required signing buyer because she is listed as Selling-Buyer2 in the project spreadsheet; only the Geraldine/Geraldina spelling conflict remains unresolved.</w:t>
            </w:r>
          </w:p>
        </w:tc>
      </w:tr>
    </w:tbl>
    <w:p/>
    <w:p>
      <w:pPr>
        <w:pStyle w:val="Heading1"/>
      </w:pPr>
      <w:r>
        <w:t>What Changed In This Rerun</w:t>
      </w:r>
    </w:p>
    <w:p>
      <w:pPr>
        <w:pStyle w:val="ListBullet"/>
      </w:pPr>
      <w:r>
        <w:rPr>
          <w:b w:val="0"/>
          <w:i w:val="0"/>
        </w:rPr>
        <w:t>This version applies the buyer-signing rule: anyone listed as a buyer in the project spreadsheet is treated as going to closing and needing to sign.</w:t>
      </w:r>
    </w:p>
    <w:p>
      <w:pPr>
        <w:pStyle w:val="ListBullet"/>
      </w:pPr>
      <w:r>
        <w:rPr>
          <w:b w:val="0"/>
          <w:i w:val="0"/>
        </w:rPr>
        <w:t>Maria Geraldine Sarmiento is therefore treated as Buyer 2 and a required signing buyer; the remaining open issue is only the spelling conflict with the passport/source file spelling Maria Geraldina Sarmiento.</w:t>
      </w:r>
    </w:p>
    <w:p>
      <w:pPr>
        <w:pStyle w:val="ListBullet"/>
      </w:pPr>
      <w:r>
        <w:rPr>
          <w:b w:val="0"/>
          <w:i w:val="0"/>
        </w:rPr>
        <w:t>This version keeps the preferred v9 report format, including the Executive Recommendation callout near the front.</w:t>
      </w:r>
    </w:p>
    <w:p>
      <w:pPr>
        <w:pStyle w:val="ListBullet"/>
      </w:pPr>
      <w:r>
        <w:rPr>
          <w:b w:val="0"/>
          <w:i w:val="0"/>
        </w:rPr>
        <w:t>The evaluation remains in evidence mode: prompt-provided transaction facts were not used as source facts.</w:t>
      </w:r>
    </w:p>
    <w:p>
      <w:pPr>
        <w:pStyle w:val="ListBullet"/>
      </w:pPr>
      <w:r>
        <w:rPr>
          <w:b w:val="0"/>
          <w:i w:val="0"/>
        </w:rPr>
        <w:t>A full DOCX report was created and copied to the buyer Teams Credit Worthiness folder as v12.</w:t>
      </w:r>
    </w:p>
    <w:p>
      <w:pPr>
        <w:pStyle w:val="Heading1"/>
      </w:pPr>
      <w:r>
        <w:t>Transaction Snapshot</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Buyer 1</w:t>
            </w:r>
          </w:p>
        </w:tc>
        <w:tc>
          <w:tcPr>
            <w:tcW w:type="dxa" w:w="4968"/>
            <w:vAlign w:val="center"/>
          </w:tcPr>
          <w:p>
            <w:r>
              <w:rPr>
                <w:rFonts w:ascii="Aptos" w:hAnsi="Aptos"/>
                <w:b/>
                <w:sz w:val="19"/>
              </w:rPr>
              <w:t>Ever Amarildo Cardoza Bolanos - signing buyer per Selling-Buyer1.</w:t>
            </w:r>
          </w:p>
        </w:tc>
      </w:tr>
      <w:tr>
        <w:tc>
          <w:tcPr>
            <w:tcW w:type="dxa" w:w="4968"/>
            <w:vAlign w:val="center"/>
          </w:tcPr>
          <w:p>
            <w:r>
              <w:rPr>
                <w:rFonts w:ascii="Aptos" w:hAnsi="Aptos"/>
                <w:sz w:val="19"/>
              </w:rPr>
              <w:t>Buyer 2</w:t>
            </w:r>
          </w:p>
        </w:tc>
        <w:tc>
          <w:tcPr>
            <w:tcW w:type="dxa" w:w="4968"/>
            <w:vAlign w:val="center"/>
          </w:tcPr>
          <w:p>
            <w:r>
              <w:rPr>
                <w:rFonts w:ascii="Aptos" w:hAnsi="Aptos"/>
                <w:sz w:val="19"/>
              </w:rPr>
              <w:t>Maria Geraldine Sarmiento - signing buyer per Selling-Buyer2. Confirm final spelling because passport/source file indicates Maria Geraldina Sarmiento.</w:t>
            </w:r>
          </w:p>
        </w:tc>
      </w:tr>
      <w:tr>
        <w:tc>
          <w:tcPr>
            <w:tcW w:type="dxa" w:w="4968"/>
            <w:vAlign w:val="center"/>
          </w:tcPr>
          <w:p>
            <w:r>
              <w:rPr>
                <w:rFonts w:ascii="Aptos" w:hAnsi="Aptos"/>
                <w:sz w:val="19"/>
              </w:rPr>
              <w:t>Property</w:t>
            </w:r>
          </w:p>
        </w:tc>
        <w:tc>
          <w:tcPr>
            <w:tcW w:type="dxa" w:w="4968"/>
            <w:vAlign w:val="center"/>
          </w:tcPr>
          <w:p>
            <w:r>
              <w:rPr>
                <w:rFonts w:ascii="Aptos" w:hAnsi="Aptos"/>
                <w:sz w:val="19"/>
              </w:rPr>
              <w:t>320 Rose Pl, Wendell, NC 27591</w:t>
            </w:r>
          </w:p>
        </w:tc>
      </w:tr>
      <w:tr>
        <w:tc>
          <w:tcPr>
            <w:tcW w:type="dxa" w:w="4968"/>
            <w:vAlign w:val="center"/>
          </w:tcPr>
          <w:p>
            <w:r>
              <w:rPr>
                <w:rFonts w:ascii="Aptos" w:hAnsi="Aptos"/>
                <w:sz w:val="19"/>
              </w:rPr>
              <w:t>Seller</w:t>
            </w:r>
          </w:p>
        </w:tc>
        <w:tc>
          <w:tcPr>
            <w:tcW w:type="dxa" w:w="4968"/>
            <w:vAlign w:val="center"/>
          </w:tcPr>
          <w:p>
            <w:r>
              <w:rPr>
                <w:rFonts w:ascii="Aptos" w:hAnsi="Aptos"/>
                <w:sz w:val="19"/>
              </w:rPr>
              <w:t>Sell Your Home, LLC</w:t>
            </w:r>
          </w:p>
        </w:tc>
      </w:tr>
      <w:tr>
        <w:tc>
          <w:tcPr>
            <w:tcW w:type="dxa" w:w="4968"/>
            <w:vAlign w:val="center"/>
          </w:tcPr>
          <w:p>
            <w:r>
              <w:rPr>
                <w:rFonts w:ascii="Aptos" w:hAnsi="Aptos"/>
                <w:sz w:val="19"/>
              </w:rPr>
              <w:t>Purchase price / loan amount</w:t>
            </w:r>
          </w:p>
        </w:tc>
        <w:tc>
          <w:tcPr>
            <w:tcW w:type="dxa" w:w="4968"/>
            <w:vAlign w:val="center"/>
          </w:tcPr>
          <w:p>
            <w:r>
              <w:rPr>
                <w:rFonts w:ascii="Aptos" w:hAnsi="Aptos"/>
                <w:sz w:val="19"/>
              </w:rPr>
              <w:t>$346,500 purchase price; $325,710 loan amount</w:t>
            </w:r>
          </w:p>
        </w:tc>
      </w:tr>
      <w:tr>
        <w:tc>
          <w:tcPr>
            <w:tcW w:type="dxa" w:w="4968"/>
            <w:vAlign w:val="center"/>
          </w:tcPr>
          <w:p>
            <w:r>
              <w:rPr>
                <w:rFonts w:ascii="Aptos" w:hAnsi="Aptos"/>
                <w:sz w:val="19"/>
              </w:rPr>
              <w:t>Earnest money / down payment</w:t>
            </w:r>
          </w:p>
        </w:tc>
        <w:tc>
          <w:tcPr>
            <w:tcW w:type="dxa" w:w="4968"/>
            <w:vAlign w:val="center"/>
          </w:tcPr>
          <w:p>
            <w:r>
              <w:rPr>
                <w:rFonts w:ascii="Aptos" w:hAnsi="Aptos"/>
                <w:sz w:val="19"/>
              </w:rPr>
              <w:t>$6,000 earnest money; $20,790 total down payment</w:t>
            </w:r>
          </w:p>
        </w:tc>
      </w:tr>
      <w:tr>
        <w:tc>
          <w:tcPr>
            <w:tcW w:type="dxa" w:w="4968"/>
            <w:vAlign w:val="center"/>
          </w:tcPr>
          <w:p>
            <w:r>
              <w:rPr>
                <w:rFonts w:ascii="Aptos" w:hAnsi="Aptos"/>
                <w:sz w:val="19"/>
              </w:rPr>
              <w:t>Monthly payment / dates</w:t>
            </w:r>
          </w:p>
        </w:tc>
        <w:tc>
          <w:tcPr>
            <w:tcW w:type="dxa" w:w="4968"/>
            <w:vAlign w:val="center"/>
          </w:tcPr>
          <w:p>
            <w:r>
              <w:rPr>
                <w:rFonts w:ascii="Aptos" w:hAnsi="Aptos"/>
                <w:sz w:val="19"/>
              </w:rPr>
              <w:t>$2,504.43 monthly payment; LoanStart1 2026-07-01; LoanEnd1 2056-06-01</w:t>
            </w:r>
          </w:p>
        </w:tc>
      </w:tr>
    </w:tbl>
    <w:p>
      <w:pPr>
        <w:pStyle w:val="Heading1"/>
      </w:pPr>
      <w:r>
        <w:t>Screening Strengths</w:t>
      </w:r>
    </w:p>
    <w:p>
      <w:pPr>
        <w:pStyle w:val="ListBullet"/>
      </w:pPr>
      <w:r>
        <w:rPr>
          <w:b w:val="0"/>
          <w:i w:val="0"/>
        </w:rPr>
        <w:t>Zillow credit report shows a 706 VantageScore 4.0 score.</w:t>
      </w:r>
    </w:p>
    <w:p>
      <w:pPr>
        <w:pStyle w:val="ListBullet"/>
      </w:pPr>
      <w:r>
        <w:rPr>
          <w:b w:val="0"/>
          <w:i w:val="0"/>
        </w:rPr>
        <w:t>Credit report shows 100% on-time payments, no collections, no delinquent or derogatory account, and no bankruptcies found.</w:t>
      </w:r>
    </w:p>
    <w:p>
      <w:pPr>
        <w:pStyle w:val="ListBullet"/>
      </w:pPr>
      <w:r>
        <w:rPr>
          <w:b w:val="0"/>
          <w:i w:val="0"/>
        </w:rPr>
        <w:t>Background check reports no housing court records and no criminal records.</w:t>
      </w:r>
    </w:p>
    <w:p>
      <w:pPr>
        <w:pStyle w:val="ListBullet"/>
      </w:pPr>
      <w:r>
        <w:rPr>
          <w:b w:val="0"/>
          <w:i w:val="0"/>
        </w:rPr>
        <w:t>Buy Your Home, LLC rent verification supports timely rent payments during the tenancy; because Buy Your Home, LLC is a related company/current landlord, this is related-company verification rather than independent third-party landlord verification.</w:t>
      </w:r>
    </w:p>
    <w:p>
      <w:pPr>
        <w:pStyle w:val="ListBullet"/>
      </w:pPr>
      <w:r>
        <w:rPr>
          <w:b w:val="0"/>
          <w:i w:val="0"/>
        </w:rPr>
        <w:t>Secretary of State annual report supports Ever A. Cardoza Bolanos as registered agent and managing member of Matthew Flooring LLC.</w:t>
      </w:r>
    </w:p>
    <w:p>
      <w:pPr>
        <w:pStyle w:val="ListBullet"/>
      </w:pPr>
      <w:r>
        <w:rPr>
          <w:b w:val="0"/>
          <w:i w:val="0"/>
        </w:rPr>
        <w:t>Paid receipts support gross customer receipts near the stated income level.</w:t>
      </w:r>
    </w:p>
    <w:p>
      <w:pPr>
        <w:pStyle w:val="Heading1"/>
      </w:pPr>
      <w:r>
        <w:t>Ability-To-Repay Findings</w:t>
      </w:r>
    </w:p>
    <w:p>
      <w:pPr>
        <w:pStyle w:val="Heading2"/>
      </w:pPr>
      <w:r>
        <w:t>Income And Business Cash Flow</w:t>
      </w:r>
    </w:p>
    <w:p>
      <w:r>
        <w:rPr>
          <w:b w:val="0"/>
          <w:i w:val="0"/>
        </w:rPr>
        <w:t>Applicant details state self-employment income of $9,500/month. The file supports active business activity and substantial gross receipts, but current evidence still does not include tax returns, a CPA letter, profit-and-loss records, payroll records, or a complete owner-draw analysis. Gross receipts and gross business deposits should therefore be treated as support for business activity, not as fully verified borrower-level net income.</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Supporting Income And Reserve Context</w:t>
            </w:r>
          </w:p>
        </w:tc>
        <w:tc>
          <w:tcPr>
            <w:tcW w:type="dxa" w:w="4968"/>
            <w:vAlign w:val="center"/>
          </w:tcPr>
          <w:p>
            <w:r>
              <w:rPr>
                <w:rFonts w:ascii="Aptos" w:hAnsi="Aptos"/>
                <w:b/>
                <w:sz w:val="19"/>
              </w:rPr>
              <w:t>Supporting Income And Reserve Context</w:t>
            </w:r>
          </w:p>
        </w:tc>
      </w:tr>
      <w:tr>
        <w:tc>
          <w:tcPr>
            <w:tcW w:type="dxa" w:w="4968"/>
            <w:vAlign w:val="center"/>
          </w:tcPr>
          <w:p>
            <w:r>
              <w:rPr>
                <w:rFonts w:ascii="Aptos" w:hAnsi="Aptos"/>
                <w:sz w:val="19"/>
              </w:rPr>
              <w:t>Business role verification</w:t>
            </w:r>
          </w:p>
        </w:tc>
        <w:tc>
          <w:tcPr>
            <w:tcW w:type="dxa" w:w="4968"/>
            <w:vAlign w:val="center"/>
          </w:tcPr>
          <w:p>
            <w:r>
              <w:rPr>
                <w:rFonts w:ascii="Aptos" w:hAnsi="Aptos"/>
                <w:sz w:val="19"/>
              </w:rPr>
              <w:t>2026 Secretary of State annual report shows Ever A. Cardoza Bolanos as registered agent and managing member of Matthew Flooring LLC.</w:t>
            </w:r>
          </w:p>
        </w:tc>
      </w:tr>
      <w:tr>
        <w:tc>
          <w:tcPr>
            <w:tcW w:type="dxa" w:w="4968"/>
            <w:vAlign w:val="center"/>
          </w:tcPr>
          <w:p>
            <w:r>
              <w:rPr>
                <w:rFonts w:ascii="Aptos" w:hAnsi="Aptos"/>
                <w:sz w:val="19"/>
              </w:rPr>
              <w:t>Business bank activity</w:t>
            </w:r>
          </w:p>
        </w:tc>
        <w:tc>
          <w:tcPr>
            <w:tcW w:type="dxa" w:w="4968"/>
            <w:vAlign w:val="center"/>
          </w:tcPr>
          <w:p>
            <w:r>
              <w:rPr>
                <w:rFonts w:ascii="Aptos" w:hAnsi="Aptos"/>
                <w:sz w:val="19"/>
              </w:rPr>
              <w:t>Prior project-room analysis of 16 unique Matthew Flooring LLC statements showed total deposits/credits of $434,462.90 and average deposits/credits of $27,153.93/month, but withdrawals were similarly high.</w:t>
            </w:r>
          </w:p>
        </w:tc>
      </w:tr>
      <w:tr>
        <w:tc>
          <w:tcPr>
            <w:tcW w:type="dxa" w:w="4968"/>
            <w:vAlign w:val="center"/>
          </w:tcPr>
          <w:p>
            <w:r>
              <w:rPr>
                <w:rFonts w:ascii="Aptos" w:hAnsi="Aptos"/>
                <w:sz w:val="19"/>
              </w:rPr>
              <w:t>2026 business activity</w:t>
            </w:r>
          </w:p>
        </w:tc>
        <w:tc>
          <w:tcPr>
            <w:tcW w:type="dxa" w:w="4968"/>
            <w:vAlign w:val="center"/>
          </w:tcPr>
          <w:p>
            <w:r>
              <w:rPr>
                <w:rFonts w:ascii="Aptos" w:hAnsi="Aptos"/>
                <w:sz w:val="19"/>
              </w:rPr>
              <w:t>January-May 2026 average deposits/credits were $24,631.93/month and average withdrawals/debits were $24,103.11/month; May 31, 2026 ending balance was $5,058.11.</w:t>
            </w:r>
          </w:p>
        </w:tc>
      </w:tr>
      <w:tr>
        <w:tc>
          <w:tcPr>
            <w:tcW w:type="dxa" w:w="4968"/>
            <w:vAlign w:val="center"/>
          </w:tcPr>
          <w:p>
            <w:r>
              <w:rPr>
                <w:rFonts w:ascii="Aptos" w:hAnsi="Aptos"/>
                <w:sz w:val="19"/>
              </w:rPr>
              <w:t>Paid receipt package</w:t>
            </w:r>
          </w:p>
        </w:tc>
        <w:tc>
          <w:tcPr>
            <w:tcW w:type="dxa" w:w="4968"/>
            <w:vAlign w:val="center"/>
          </w:tcPr>
          <w:p>
            <w:r>
              <w:rPr>
                <w:rFonts w:ascii="Aptos" w:hAnsi="Aptos"/>
                <w:sz w:val="19"/>
              </w:rPr>
              <w:t>Twelve receipts marked paid total $112,922.25, averaging $9,410.19/month over twelve dated receipts.</w:t>
            </w:r>
          </w:p>
        </w:tc>
      </w:tr>
      <w:tr>
        <w:tc>
          <w:tcPr>
            <w:tcW w:type="dxa" w:w="4968"/>
            <w:vAlign w:val="center"/>
          </w:tcPr>
          <w:p>
            <w:r>
              <w:rPr>
                <w:rFonts w:ascii="Aptos" w:hAnsi="Aptos"/>
                <w:sz w:val="19"/>
              </w:rPr>
              <w:t>Open receivables</w:t>
            </w:r>
          </w:p>
        </w:tc>
        <w:tc>
          <w:tcPr>
            <w:tcW w:type="dxa" w:w="4968"/>
            <w:vAlign w:val="center"/>
          </w:tcPr>
          <w:p>
            <w:r>
              <w:rPr>
                <w:rFonts w:ascii="Aptos" w:hAnsi="Aptos"/>
                <w:sz w:val="19"/>
              </w:rPr>
              <w:t>Two June 2026 receipts marked due/balance due total $14,000; treat as open receivables, not paid income, unless collected and verified.</w:t>
            </w:r>
          </w:p>
        </w:tc>
      </w:tr>
      <w:tr>
        <w:tc>
          <w:tcPr>
            <w:tcW w:type="dxa" w:w="4968"/>
            <w:vAlign w:val="center"/>
          </w:tcPr>
          <w:p>
            <w:r>
              <w:rPr>
                <w:rFonts w:ascii="Aptos" w:hAnsi="Aptos"/>
                <w:sz w:val="19"/>
              </w:rPr>
              <w:t>Cash reserves</w:t>
            </w:r>
          </w:p>
        </w:tc>
        <w:tc>
          <w:tcPr>
            <w:tcW w:type="dxa" w:w="4968"/>
            <w:vAlign w:val="center"/>
          </w:tcPr>
          <w:p>
            <w:r>
              <w:rPr>
                <w:rFonts w:ascii="Aptos" w:hAnsi="Aptos"/>
                <w:sz w:val="19"/>
              </w:rPr>
              <w:t>Signed cash-reserves PDF states $24,000 counted cash, $14,000 accounts receivable, and $10,000 access to El Salvador funds, but the notary block is blank.</w:t>
            </w:r>
          </w:p>
        </w:tc>
      </w:tr>
    </w:tbl>
    <w:p>
      <w:pPr>
        <w:pStyle w:val="Heading2"/>
      </w:pPr>
      <w:r>
        <w:t>Debt Burden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 Report Debt Summary</w:t>
            </w:r>
          </w:p>
        </w:tc>
        <w:tc>
          <w:tcPr>
            <w:tcW w:type="dxa" w:w="4968"/>
            <w:vAlign w:val="center"/>
          </w:tcPr>
          <w:p>
            <w:r>
              <w:rPr>
                <w:rFonts w:ascii="Aptos" w:hAnsi="Aptos"/>
                <w:b/>
                <w:sz w:val="19"/>
              </w:rPr>
              <w:t>Credit Report Debt Summary</w:t>
            </w:r>
          </w:p>
        </w:tc>
      </w:tr>
      <w:tr>
        <w:tc>
          <w:tcPr>
            <w:tcW w:type="dxa" w:w="4968"/>
            <w:vAlign w:val="center"/>
          </w:tcPr>
          <w:p>
            <w:r>
              <w:rPr>
                <w:rFonts w:ascii="Aptos" w:hAnsi="Aptos"/>
                <w:sz w:val="19"/>
              </w:rPr>
              <w:t>Estimated monthly debt payments</w:t>
            </w:r>
          </w:p>
        </w:tc>
        <w:tc>
          <w:tcPr>
            <w:tcW w:type="dxa" w:w="4968"/>
            <w:vAlign w:val="center"/>
          </w:tcPr>
          <w:p>
            <w:r>
              <w:rPr>
                <w:rFonts w:ascii="Aptos" w:hAnsi="Aptos"/>
                <w:sz w:val="19"/>
              </w:rPr>
              <w:t>$2,162</w:t>
            </w:r>
          </w:p>
        </w:tc>
      </w:tr>
      <w:tr>
        <w:tc>
          <w:tcPr>
            <w:tcW w:type="dxa" w:w="4968"/>
            <w:vAlign w:val="center"/>
          </w:tcPr>
          <w:p>
            <w:r>
              <w:rPr>
                <w:rFonts w:ascii="Aptos" w:hAnsi="Aptos"/>
                <w:sz w:val="19"/>
              </w:rPr>
              <w:t>Total debt</w:t>
            </w:r>
          </w:p>
        </w:tc>
        <w:tc>
          <w:tcPr>
            <w:tcW w:type="dxa" w:w="4968"/>
            <w:vAlign w:val="center"/>
          </w:tcPr>
          <w:p>
            <w:r>
              <w:rPr>
                <w:rFonts w:ascii="Aptos" w:hAnsi="Aptos"/>
                <w:sz w:val="19"/>
              </w:rPr>
              <w:t>$86,790</w:t>
            </w:r>
          </w:p>
        </w:tc>
      </w:tr>
      <w:tr>
        <w:tc>
          <w:tcPr>
            <w:tcW w:type="dxa" w:w="4968"/>
            <w:vAlign w:val="center"/>
          </w:tcPr>
          <w:p>
            <w:r>
              <w:rPr>
                <w:rFonts w:ascii="Aptos" w:hAnsi="Aptos"/>
                <w:sz w:val="19"/>
              </w:rPr>
              <w:t>Open auto-loan balances</w:t>
            </w:r>
          </w:p>
        </w:tc>
        <w:tc>
          <w:tcPr>
            <w:tcW w:type="dxa" w:w="4968"/>
            <w:vAlign w:val="center"/>
          </w:tcPr>
          <w:p>
            <w:r>
              <w:rPr>
                <w:rFonts w:ascii="Aptos" w:hAnsi="Aptos"/>
                <w:sz w:val="19"/>
              </w:rPr>
              <w:t>$16,536; $19,112; $22,864; $28,278</w:t>
            </w:r>
          </w:p>
        </w:tc>
      </w:tr>
      <w:tr>
        <w:tc>
          <w:tcPr>
            <w:tcW w:type="dxa" w:w="4968"/>
            <w:vAlign w:val="center"/>
          </w:tcPr>
          <w:p>
            <w:r>
              <w:rPr>
                <w:rFonts w:ascii="Aptos" w:hAnsi="Aptos"/>
                <w:sz w:val="19"/>
              </w:rPr>
              <w:t>Credit-card balance shown</w:t>
            </w:r>
          </w:p>
        </w:tc>
        <w:tc>
          <w:tcPr>
            <w:tcW w:type="dxa" w:w="4968"/>
            <w:vAlign w:val="center"/>
          </w:tcPr>
          <w:p>
            <w:r>
              <w:rPr>
                <w:rFonts w:ascii="Aptos" w:hAnsi="Aptos"/>
                <w:sz w:val="19"/>
              </w:rPr>
              <w:t>$0 on Capital One account</w:t>
            </w:r>
          </w:p>
        </w:tc>
      </w:tr>
    </w:tbl>
    <w:p>
      <w:pPr>
        <w:pStyle w:val="Heading2"/>
      </w:pPr>
      <w:r>
        <w:t>Payment Ratios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Payment-Shock And Ratio Test</w:t>
            </w:r>
          </w:p>
        </w:tc>
        <w:tc>
          <w:tcPr>
            <w:tcW w:type="dxa" w:w="4968"/>
            <w:vAlign w:val="center"/>
          </w:tcPr>
          <w:p>
            <w:r>
              <w:rPr>
                <w:rFonts w:ascii="Aptos" w:hAnsi="Aptos"/>
                <w:b/>
                <w:sz w:val="19"/>
              </w:rPr>
              <w:t>Payment-Shock And Ratio Test</w:t>
            </w:r>
          </w:p>
        </w:tc>
      </w:tr>
      <w:tr>
        <w:tc>
          <w:tcPr>
            <w:tcW w:type="dxa" w:w="4968"/>
            <w:vAlign w:val="center"/>
          </w:tcPr>
          <w:p>
            <w:r>
              <w:rPr>
                <w:rFonts w:ascii="Aptos" w:hAnsi="Aptos"/>
                <w:sz w:val="19"/>
              </w:rPr>
              <w:t>Housing ratio using stated income</w:t>
            </w:r>
          </w:p>
        </w:tc>
        <w:tc>
          <w:tcPr>
            <w:tcW w:type="dxa" w:w="4968"/>
            <w:vAlign w:val="center"/>
          </w:tcPr>
          <w:p>
            <w:r>
              <w:rPr>
                <w:rFonts w:ascii="Aptos" w:hAnsi="Aptos"/>
                <w:sz w:val="19"/>
              </w:rPr>
              <w:t>$2,504.43 / $9,500 = 26.4%</w:t>
            </w:r>
          </w:p>
        </w:tc>
      </w:tr>
      <w:tr>
        <w:tc>
          <w:tcPr>
            <w:tcW w:type="dxa" w:w="4968"/>
            <w:vAlign w:val="center"/>
          </w:tcPr>
          <w:p>
            <w:r>
              <w:rPr>
                <w:rFonts w:ascii="Aptos" w:hAnsi="Aptos"/>
                <w:sz w:val="19"/>
              </w:rPr>
              <w:t>Back-end ratio using stated income</w:t>
            </w:r>
          </w:p>
        </w:tc>
        <w:tc>
          <w:tcPr>
            <w:tcW w:type="dxa" w:w="4968"/>
            <w:vAlign w:val="center"/>
          </w:tcPr>
          <w:p>
            <w:r>
              <w:rPr>
                <w:rFonts w:ascii="Aptos" w:hAnsi="Aptos"/>
                <w:sz w:val="19"/>
              </w:rPr>
              <w:t>($2,504.43 + $2,162) / $9,500 = 49.1%</w:t>
            </w:r>
          </w:p>
        </w:tc>
      </w:tr>
      <w:tr>
        <w:tc>
          <w:tcPr>
            <w:tcW w:type="dxa" w:w="4968"/>
            <w:vAlign w:val="center"/>
          </w:tcPr>
          <w:p>
            <w:r>
              <w:rPr>
                <w:rFonts w:ascii="Aptos" w:hAnsi="Aptos"/>
                <w:sz w:val="19"/>
              </w:rPr>
              <w:t>Conditional interpretation</w:t>
            </w:r>
          </w:p>
        </w:tc>
        <w:tc>
          <w:tcPr>
            <w:tcW w:type="dxa" w:w="4968"/>
            <w:vAlign w:val="center"/>
          </w:tcPr>
          <w:p>
            <w:r>
              <w:rPr>
                <w:rFonts w:ascii="Aptos" w:hAnsi="Aptos"/>
                <w:sz w:val="19"/>
              </w:rPr>
              <w:t>The back-end ratio remains high. Conditional reconsideration is supportable only because of compensating factors and only if final affidavit, funds-to-close, and compliance conditions are satisfied.</w:t>
            </w:r>
          </w:p>
        </w:tc>
      </w:tr>
    </w:tbl>
    <w:p>
      <w:pPr>
        <w:pStyle w:val="Heading2"/>
      </w:pPr>
      <w:r>
        <w:t>Cash To Close And Reserves</w:t>
      </w:r>
    </w:p>
    <w:p>
      <w:r>
        <w:rPr>
          <w:b w:val="0"/>
          <w:i w:val="0"/>
        </w:rPr>
        <w:t>The spreadsheet shows $6,000 earnest money and $20,790 total down payment. The signed cash-reserves PDF states that $24,000 cash was counted, $14,000 of accounts receivable were seen, and Ever stated he had access to $10,000 in El Salvador. The $24,000 counted cash appears sufficient for the down payment before closing costs if accepted, but it does not by itself prove earnest money, all closing costs, or post-closing reserves. The affidavit must be finalized/notarized or replaced with closing-approved proof if relied on.</w:t>
      </w:r>
    </w:p>
    <w:p>
      <w:pPr>
        <w:pStyle w:val="Heading1"/>
      </w:pPr>
      <w:r>
        <w:t>Decision</w:t>
      </w:r>
    </w:p>
    <w:tbl>
      <w:tblPr>
        <w:tblStyle w:val="TableGrid"/>
        <w:tblW w:type="auto" w:w="0"/>
        <w:jc w:val="center"/>
        <w:tblLook w:firstColumn="1" w:firstRow="1" w:lastColumn="0" w:lastRow="0" w:noHBand="0" w:noVBand="1" w:val="04A0"/>
      </w:tblPr>
      <w:tblGrid>
        <w:gridCol w:w="9936"/>
      </w:tblGrid>
      <w:tr>
        <w:tc>
          <w:tcPr>
            <w:tcW w:type="dxa" w:w="9936"/>
            <w:vAlign w:val="center"/>
          </w:tcPr>
          <w:p>
            <w:r>
              <w:rPr>
                <w:rFonts w:ascii="Aptos" w:hAnsi="Aptos"/>
                <w:b/>
                <w:sz w:val="19"/>
              </w:rPr>
              <w:t>Conditional Approval / Conditional Reconsideration</w:t>
              <w:br/>
              <w:t>The file supports continued Contract for Deed preparation, but it is not final approval-ready from current verified evidence alone. Approval should remain conditional until final signed/notarized affidavits, funds-to-close proof, final Maria legal-name spelling, and attorney/compliance review are complete.</w:t>
            </w:r>
          </w:p>
        </w:tc>
      </w:tr>
    </w:tbl>
    <w:p>
      <w:pPr>
        <w:pStyle w:val="Heading1"/>
      </w:pPr>
      <w:r>
        <w:t>Remaining File Conditions Before Closing</w:t>
      </w:r>
    </w:p>
    <w:p>
      <w:pPr>
        <w:pStyle w:val="ListNumber"/>
      </w:pPr>
      <w:r>
        <w:rPr>
          <w:b w:val="0"/>
          <w:i w:val="0"/>
        </w:rPr>
        <w:t>Confirm final legal spelling for Maria. The project spreadsheet names Maria Geraldine Sarmiento, while passport/source naming indicates Maria Geraldina Sarmiento. Her role is not open: she is a signing buyer because she is listed as Selling-Buyer2.</w:t>
      </w:r>
    </w:p>
    <w:p>
      <w:pPr>
        <w:pStyle w:val="ListNumber"/>
      </w:pPr>
      <w:r>
        <w:rPr>
          <w:b w:val="0"/>
          <w:i w:val="0"/>
        </w:rPr>
        <w:t>Obtain or verify final signed/notarized related-company rent-history affidavit if relied on.</w:t>
      </w:r>
    </w:p>
    <w:p>
      <w:pPr>
        <w:pStyle w:val="ListNumber"/>
      </w:pPr>
      <w:r>
        <w:rPr>
          <w:b w:val="0"/>
          <w:i w:val="0"/>
        </w:rPr>
        <w:t>Obtain or verify final signed/notarized cash reserves and receivables observation affidavit, or substitute closing-approved funds-to-close proof.</w:t>
      </w:r>
    </w:p>
    <w:p>
      <w:pPr>
        <w:pStyle w:val="ListNumber"/>
      </w:pPr>
      <w:r>
        <w:rPr>
          <w:b w:val="0"/>
          <w:i w:val="0"/>
        </w:rPr>
        <w:t>Obtain or verify final receipt package review and acceptance affidavit if Sell Your Home relies on the paid receipt package in place of stronger tax/CPA income documentation.</w:t>
      </w:r>
    </w:p>
    <w:p>
      <w:pPr>
        <w:pStyle w:val="ListNumber"/>
      </w:pPr>
      <w:r>
        <w:rPr>
          <w:b w:val="0"/>
          <w:i w:val="0"/>
        </w:rPr>
        <w:t>Obtain or verify final business judgment approval direction affidavit if management proceeds despite nonstandard income support and a high back-end ratio.</w:t>
      </w:r>
    </w:p>
    <w:p>
      <w:pPr>
        <w:pStyle w:val="ListNumber"/>
      </w:pPr>
      <w:r>
        <w:rPr>
          <w:b w:val="0"/>
          <w:i w:val="0"/>
        </w:rPr>
        <w:t>Confirm funds to close, including earnest money, down payment, closing costs, and post-closing reserves.</w:t>
      </w:r>
    </w:p>
    <w:p>
      <w:pPr>
        <w:pStyle w:val="ListNumber"/>
      </w:pPr>
      <w:r>
        <w:rPr>
          <w:b w:val="0"/>
          <w:i w:val="0"/>
        </w:rPr>
        <w:t>Complete attorney review of North Carolina Contract for Deed and seller-financing compliance, including Regulation Z/Dodd-Frank and any adverse-action or conditional-approval notice issues.</w:t>
      </w:r>
    </w:p>
    <w:p>
      <w:pPr>
        <w:pStyle w:val="Heading1"/>
      </w:pPr>
      <w:r>
        <w:t>CFD Closing-Package Document Requests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rFonts w:ascii="Aptos" w:hAnsi="Aptos"/>
                <w:b/>
                <w:sz w:val="19"/>
              </w:rPr>
              <w:t>Credit-Worthiness-Related Documents Requested From CFD</w:t>
            </w:r>
          </w:p>
        </w:tc>
        <w:tc>
          <w:tcPr>
            <w:tcW w:type="dxa" w:w="4968"/>
            <w:vAlign w:val="center"/>
          </w:tcPr>
          <w:p>
            <w:r>
              <w:rPr>
                <w:rFonts w:ascii="Aptos" w:hAnsi="Aptos"/>
                <w:b/>
                <w:sz w:val="19"/>
              </w:rPr>
              <w:t>Credit-Worthiness-Related Documents Requested From CFD</w:t>
            </w:r>
          </w:p>
        </w:tc>
      </w:tr>
      <w:tr>
        <w:tc>
          <w:tcPr>
            <w:tcW w:type="dxa" w:w="4968"/>
            <w:vAlign w:val="center"/>
          </w:tcPr>
          <w:p>
            <w:r>
              <w:rPr>
                <w:rFonts w:ascii="Aptos" w:hAnsi="Aptos"/>
                <w:sz w:val="19"/>
              </w:rPr>
              <w:t>Related-Company Rent Payment History Affidavit</w:t>
            </w:r>
          </w:p>
        </w:tc>
        <w:tc>
          <w:tcPr>
            <w:tcW w:type="dxa" w:w="4968"/>
            <w:vAlign w:val="center"/>
          </w:tcPr>
          <w:p>
            <w:r>
              <w:rPr>
                <w:rFonts w:ascii="Aptos" w:hAnsi="Aptos"/>
                <w:sz w:val="19"/>
              </w:rPr>
              <w:t>Purpose: document tenant payment history with Buy Your Home, LLC and disclose related-company nature. Signer: Buy Your Home, LLC manager or authorized representative. CFD action: create/finalize if relied on.</w:t>
            </w:r>
          </w:p>
        </w:tc>
      </w:tr>
      <w:tr>
        <w:tc>
          <w:tcPr>
            <w:tcW w:type="dxa" w:w="4968"/>
            <w:vAlign w:val="center"/>
          </w:tcPr>
          <w:p>
            <w:r>
              <w:rPr>
                <w:rFonts w:ascii="Aptos" w:hAnsi="Aptos"/>
                <w:sz w:val="19"/>
              </w:rPr>
              <w:t>Cash Reserves and Receivables Observation Affidavit</w:t>
            </w:r>
          </w:p>
        </w:tc>
        <w:tc>
          <w:tcPr>
            <w:tcW w:type="dxa" w:w="4968"/>
            <w:vAlign w:val="center"/>
          </w:tcPr>
          <w:p>
            <w:r>
              <w:rPr>
                <w:rFonts w:ascii="Aptos" w:hAnsi="Aptos"/>
                <w:sz w:val="19"/>
              </w:rPr>
              <w:t>Purpose: support funds-to-close/reserves through observed cash, receivables, and stated foreign funds. Signer: observing person/entity representative. CFD action: obtain notarized final or substitute proof.</w:t>
            </w:r>
          </w:p>
        </w:tc>
      </w:tr>
      <w:tr>
        <w:tc>
          <w:tcPr>
            <w:tcW w:type="dxa" w:w="4968"/>
            <w:vAlign w:val="center"/>
          </w:tcPr>
          <w:p>
            <w:r>
              <w:rPr>
                <w:rFonts w:ascii="Aptos" w:hAnsi="Aptos"/>
                <w:sz w:val="19"/>
              </w:rPr>
              <w:t>Receipt Package Review and Acceptance Affidavit</w:t>
            </w:r>
          </w:p>
        </w:tc>
        <w:tc>
          <w:tcPr>
            <w:tcW w:type="dxa" w:w="4968"/>
            <w:vAlign w:val="center"/>
          </w:tcPr>
          <w:p>
            <w:r>
              <w:rPr>
                <w:rFonts w:ascii="Aptos" w:hAnsi="Aptos"/>
                <w:sz w:val="19"/>
              </w:rPr>
              <w:t>Purpose: document seller/business acceptance of paid receipts as gross-receipt support. Signer: Sell Your Home, LLC authorized representative; authority/signature block to be confirmed. CFD action: create/finalize if relied on.</w:t>
            </w:r>
          </w:p>
        </w:tc>
      </w:tr>
      <w:tr>
        <w:tc>
          <w:tcPr>
            <w:tcW w:type="dxa" w:w="4968"/>
            <w:vAlign w:val="center"/>
          </w:tcPr>
          <w:p>
            <w:r>
              <w:rPr>
                <w:rFonts w:ascii="Aptos" w:hAnsi="Aptos"/>
                <w:sz w:val="19"/>
              </w:rPr>
              <w:t>Business Judgment Approval Direction Affidavit</w:t>
            </w:r>
          </w:p>
        </w:tc>
        <w:tc>
          <w:tcPr>
            <w:tcW w:type="dxa" w:w="4968"/>
            <w:vAlign w:val="center"/>
          </w:tcPr>
          <w:p>
            <w:r>
              <w:rPr>
                <w:rFonts w:ascii="Aptos" w:hAnsi="Aptos"/>
                <w:sz w:val="19"/>
              </w:rPr>
              <w:t>Purpose: document decision to proceed despite nonstandard income proof and high back-end ratio. Signer: Sell Your Home, LLC authorized representative. CFD action: include only after authority and compliance review.</w:t>
            </w:r>
          </w:p>
        </w:tc>
      </w:tr>
    </w:tbl>
    <w:p>
      <w:pPr>
        <w:pStyle w:val="Heading1"/>
      </w:pPr>
      <w:r>
        <w:t>Legal And Compliance Items</w:t>
      </w:r>
    </w:p>
    <w:p>
      <w:pPr>
        <w:pStyle w:val="ListBullet"/>
      </w:pPr>
      <w:r>
        <w:rPr>
          <w:b w:val="0"/>
          <w:i w:val="0"/>
        </w:rPr>
        <w:t>This report is not legal advice and does not resolve North Carolina Contract for Deed compliance requirements.</w:t>
      </w:r>
    </w:p>
    <w:p>
      <w:pPr>
        <w:pStyle w:val="ListBullet"/>
      </w:pPr>
      <w:r>
        <w:rPr>
          <w:b w:val="0"/>
          <w:i w:val="0"/>
        </w:rPr>
        <w:t>Counsel should review seller-financing status, trust/seller authority, signature/notary blocks, recording requirements, and any federal or state consumer-credit obligations.</w:t>
      </w:r>
    </w:p>
    <w:p>
      <w:pPr>
        <w:pStyle w:val="ListBullet"/>
      </w:pPr>
      <w:r>
        <w:rPr>
          <w:b w:val="0"/>
          <w:i w:val="0"/>
        </w:rPr>
        <w:t>Counsel should decide whether adverse-action or conditional-approval notices are required if terms change or if the file remains conditional.</w:t>
      </w:r>
    </w:p>
    <w:p>
      <w:pPr>
        <w:pStyle w:val="Heading1"/>
      </w:pPr>
      <w:r>
        <w:t>Recommended Next Step</w:t>
      </w:r>
    </w:p>
    <w:p>
      <w:r>
        <w:rPr>
          <w:b w:val="0"/>
          <w:i w:val="0"/>
        </w:rPr>
        <w:t>Proceed with CFD package preparation only as a conditional file. Do not mark the buyer fully approved until the listed closing conditions are complete and accepted. CFD should treat both spreadsheet buyers as signing buyers and use this report and the Credit Worthiness Handoff as the source for credit-worthiness-related closing-package document requests.</w:t>
      </w:r>
    </w:p>
    <w:sectPr w:rsidR="00FC693F" w:rsidRPr="0006063C" w:rsidSect="00034616">
      <w:headerReference w:type="default" r:id="rId9"/>
      <w:footerReference w:type="default" r:id="rId10"/>
      <w:pgSz w:w="12240" w:h="15840"/>
      <w:pgMar w:top="1008" w:right="1152" w:bottom="1008" w:left="115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i w:val="0"/>
        <w:color w:val="5A5A5A"/>
        <w:sz w:val="18"/>
      </w:rPr>
      <w:t>Investment Services, LLC | Creditworthiness Evaluation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320 Rose Ever Amarildo Cardoza Bolanos - Creditworthiness Evaluation Report - Conditional v12</dc:title>
  <dc:subject>Tenant-buyer payment-history exception creditworthiness report</dc:subject>
  <dc:creator>Investment Services, LLC</dc:creator>
  <cp:keywords/>
  <dc:description>Prepared by Investment Services, LLC for Sell Your Home review. Conditional approval exception analysis.</dc:description>
  <cp:lastModifiedBy>Investment Services, LLC</cp:lastModifiedBy>
  <cp:revision>1</cp:revision>
  <dcterms:created xsi:type="dcterms:W3CDTF">2013-12-23T23:15:00Z</dcterms:created>
  <dcterms:modified xsi:type="dcterms:W3CDTF">2013-12-23T23:15:00Z</dcterms:modified>
  <cp:category/>
</cp:coreProperties>
</file>