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60"/>
      </w:pPr>
      <w:r>
        <w:rPr>
          <w:rFonts w:ascii="Calibri" w:hAnsi="Calibri" w:eastAsia="Calibri"/>
          <w:b/>
          <w:color w:val="8B1E2D"/>
          <w:sz w:val="21"/>
        </w:rPr>
        <w:t>CONFIDENTIAL MEDIATION PREPARATION</w:t>
      </w:r>
    </w:p>
    <w:p>
      <w:pPr>
        <w:keepNext/>
        <w:spacing w:before="40" w:after="100"/>
        <w:pBdr>
          <w:bottom w:val="single" w:sz="18" w:space="7" w:color="19324D"/>
        </w:pBdr>
      </w:pPr>
      <w:r>
        <w:rPr>
          <w:rFonts w:ascii="Calibri" w:hAnsi="Calibri" w:eastAsia="Calibri"/>
          <w:b/>
          <w:color w:val="19324D"/>
          <w:sz w:val="48"/>
        </w:rPr>
        <w:t>Confidential Mediation Timeline,</w:t>
        <w:br/>
        <w:t>Financials, and Proposed Sequence</w:t>
      </w:r>
    </w:p>
    <w:p>
      <w:pPr>
        <w:spacing w:before="200" w:after="320"/>
      </w:pPr>
      <w:r>
        <w:rPr>
          <w:rFonts w:ascii="Calibri" w:hAnsi="Calibri" w:eastAsia="Calibri"/>
          <w:b/>
          <w:i/>
          <w:color w:val="2E5D7B"/>
          <w:sz w:val="30"/>
        </w:rPr>
        <w:t>Griffith v. Browning</w:t>
      </w:r>
      <w:r>
        <w:rPr>
          <w:rFonts w:ascii="Calibri" w:hAnsi="Calibri" w:eastAsia="Calibri"/>
          <w:color w:val="4D5B68"/>
          <w:sz w:val="22"/>
        </w:rPr>
        <w:br/>
        <w:t>Wake County Superior Court  |  24CV037077-910</w:t>
      </w:r>
    </w:p>
    <w:p>
      <w:pPr>
        <w:spacing w:after="40"/>
        <w:ind w:left="115"/>
      </w:pPr>
      <w:r>
        <w:rPr>
          <w:rFonts w:ascii="Calibri" w:hAnsi="Calibri" w:eastAsia="Calibri"/>
          <w:b/>
          <w:color w:val="19324D"/>
          <w:sz w:val="21"/>
        </w:rPr>
        <w:t>Prepared:  August 10, 2026</w:t>
      </w:r>
      <w:r>
        <w:rPr>
          <w:rFonts w:ascii="Calibri" w:hAnsi="Calibri" w:eastAsia="Calibri"/>
          <w:color w:val="1A1A1A"/>
          <w:sz w:val="21"/>
        </w:rPr>
      </w:r>
    </w:p>
    <w:p>
      <w:pPr>
        <w:spacing w:after="40"/>
        <w:ind w:left="115"/>
      </w:pPr>
      <w:r>
        <w:rPr>
          <w:rFonts w:ascii="Calibri" w:hAnsi="Calibri" w:eastAsia="Calibri"/>
          <w:b/>
          <w:color w:val="19324D"/>
          <w:sz w:val="21"/>
        </w:rPr>
        <w:t>Version:  1.1</w:t>
      </w:r>
      <w:r>
        <w:rPr>
          <w:rFonts w:ascii="Calibri" w:hAnsi="Calibri" w:eastAsia="Calibri"/>
          <w:color w:val="1A1A1A"/>
          <w:sz w:val="21"/>
        </w:rPr>
      </w:r>
    </w:p>
    <w:p>
      <w:pPr>
        <w:spacing w:after="40"/>
        <w:ind w:left="115"/>
      </w:pPr>
      <w:r>
        <w:rPr>
          <w:rFonts w:ascii="Calibri" w:hAnsi="Calibri" w:eastAsia="Calibri"/>
          <w:b/>
          <w:color w:val="19324D"/>
          <w:sz w:val="21"/>
        </w:rPr>
        <w:t xml:space="preserve">Purpose:  </w:t>
      </w:r>
      <w:r>
        <w:rPr>
          <w:rFonts w:ascii="Calibri" w:hAnsi="Calibri" w:eastAsia="Calibri"/>
          <w:color w:val="1A1A1A"/>
          <w:sz w:val="21"/>
        </w:rPr>
        <w:t>Attorney review and internal mediation preparation</w:t>
      </w:r>
    </w:p>
    <w:p>
      <w:pPr>
        <w:spacing w:after="40"/>
        <w:ind w:left="115"/>
      </w:pPr>
      <w:r>
        <w:rPr>
          <w:rFonts w:ascii="Calibri" w:hAnsi="Calibri" w:eastAsia="Calibri"/>
          <w:b/>
          <w:color w:val="19324D"/>
          <w:sz w:val="21"/>
        </w:rPr>
        <w:t>Audience:  Keith, Wes, and Jenny</w:t>
      </w:r>
      <w:r>
        <w:rPr>
          <w:rFonts w:ascii="Calibri" w:hAnsi="Calibri" w:eastAsia="Calibri"/>
          <w:color w:val="1A1A1A"/>
          <w:sz w:val="21"/>
        </w:rPr>
      </w:r>
    </w:p>
    <w:p>
      <w:pPr>
        <w:pStyle w:val="Callout"/>
        <w:shd w:fill="FBF5E8"/>
        <w:pBdr>
          <w:left w:val="single" w:sz="18" w:space="8" w:color="9A6B16"/>
        </w:pBdr>
      </w:pPr>
      <w:r>
        <w:rPr>
          <w:rFonts w:ascii="Calibri" w:hAnsi="Calibri" w:eastAsia="Calibri"/>
          <w:b/>
          <w:color w:val="9A6B16"/>
          <w:sz w:val="20"/>
        </w:rPr>
        <w:t>PREPARED FOR COUNSEL. This is a source-based working analysis, not a filed pleading or an authorized settlement communication. This version is being provided to Keith for legal review and strategy development. It should not be sent to opposing counsel or the mediator without Wes's express approval.</w:t>
      </w:r>
      <w:r>
        <w:rPr>
          <w:rFonts w:ascii="Calibri" w:hAnsi="Calibri" w:eastAsia="Calibri"/>
          <w:b w:val="0"/>
          <w:i w:val="0"/>
          <w:color w:val="1A1A1A"/>
          <w:sz w:val="20"/>
        </w:rPr>
      </w:r>
    </w:p>
    <w:p>
      <w:pPr>
        <w:pStyle w:val="Heading1"/>
      </w:pPr>
      <w:r>
        <w:t>Executive Summary</w:t>
      </w:r>
    </w:p>
    <w:p>
      <w:r>
        <w:rPr>
          <w:rFonts w:ascii="Calibri" w:hAnsi="Calibri" w:eastAsia="Calibri"/>
          <w:b w:val="0"/>
          <w:i w:val="0"/>
          <w:color w:val="1A1A1A"/>
        </w:rPr>
        <w:t>The record supports a clearer chronology than the timeline supplied in Jenny's mediation-call notes. The principal corrections are:</w:t>
      </w:r>
    </w:p>
    <w:p>
      <w:pPr>
        <w:pStyle w:val="ListBullet"/>
      </w:pPr>
      <w:r>
        <w:rPr>
          <w:rFonts w:ascii="Calibri" w:hAnsi="Calibri" w:eastAsia="Calibri"/>
          <w:b w:val="0"/>
          <w:i w:val="0"/>
          <w:color w:val="1A1A1A"/>
          <w:sz w:val="22"/>
        </w:rPr>
        <w:t xml:space="preserve">Kevin Huston's meeting with Brynda and documented contact with Natalie occurred on or about </w:t>
      </w:r>
      <w:r>
        <w:rPr>
          <w:rFonts w:ascii="Calibri" w:hAnsi="Calibri" w:eastAsia="Calibri"/>
          <w:b/>
          <w:i w:val="0"/>
          <w:color w:val="1A1A1A"/>
          <w:sz w:val="22"/>
        </w:rPr>
        <w:t>September 25, 2023</w:t>
      </w:r>
      <w:r>
        <w:rPr>
          <w:rFonts w:ascii="Calibri" w:hAnsi="Calibri" w:eastAsia="Calibri"/>
          <w:b w:val="0"/>
          <w:i w:val="0"/>
          <w:color w:val="1A1A1A"/>
          <w:sz w:val="22"/>
        </w:rPr>
        <w:t>, not September 15.</w:t>
      </w:r>
    </w:p>
    <w:p>
      <w:pPr>
        <w:pStyle w:val="ListBullet"/>
      </w:pPr>
      <w:r>
        <w:rPr>
          <w:rFonts w:ascii="Calibri" w:hAnsi="Calibri" w:eastAsia="Calibri"/>
          <w:b w:val="0"/>
          <w:i w:val="0"/>
          <w:color w:val="1A1A1A"/>
          <w:sz w:val="22"/>
        </w:rPr>
        <w:t xml:space="preserve">Brynda's first call with Wes occurred on </w:t>
      </w:r>
      <w:r>
        <w:rPr>
          <w:rFonts w:ascii="Calibri" w:hAnsi="Calibri" w:eastAsia="Calibri"/>
          <w:b/>
          <w:i w:val="0"/>
          <w:color w:val="1A1A1A"/>
          <w:sz w:val="22"/>
        </w:rPr>
        <w:t>October 28, 2023</w:t>
      </w:r>
      <w:r>
        <w:rPr>
          <w:rFonts w:ascii="Calibri" w:hAnsi="Calibri" w:eastAsia="Calibri"/>
          <w:b w:val="0"/>
          <w:i w:val="0"/>
          <w:color w:val="1A1A1A"/>
          <w:sz w:val="22"/>
        </w:rPr>
        <w:t xml:space="preserve">, followed by their meeting on </w:t>
      </w:r>
      <w:r>
        <w:rPr>
          <w:rFonts w:ascii="Calibri" w:hAnsi="Calibri" w:eastAsia="Calibri"/>
          <w:b/>
          <w:i w:val="0"/>
          <w:color w:val="1A1A1A"/>
          <w:sz w:val="22"/>
        </w:rPr>
        <w:t>October 29</w:t>
      </w:r>
      <w:r>
        <w:rPr>
          <w:rFonts w:ascii="Calibri" w:hAnsi="Calibri" w:eastAsia="Calibri"/>
          <w:b w:val="0"/>
          <w:i w:val="0"/>
          <w:color w:val="1A1A1A"/>
          <w:sz w:val="22"/>
        </w:rPr>
        <w:t>, not October 23.</w:t>
      </w:r>
    </w:p>
    <w:p>
      <w:pPr>
        <w:pStyle w:val="ListBullet"/>
      </w:pPr>
      <w:r>
        <w:rPr>
          <w:rFonts w:ascii="Calibri" w:hAnsi="Calibri" w:eastAsia="Calibri"/>
          <w:b w:val="0"/>
          <w:i w:val="0"/>
          <w:color w:val="1A1A1A"/>
          <w:sz w:val="22"/>
        </w:rPr>
        <w:t xml:space="preserve">Wes paid </w:t>
      </w:r>
      <w:r>
        <w:rPr>
          <w:rFonts w:ascii="Calibri" w:hAnsi="Calibri" w:eastAsia="Calibri"/>
          <w:b/>
          <w:i w:val="0"/>
          <w:color w:val="1A1A1A"/>
          <w:sz w:val="22"/>
        </w:rPr>
        <w:t>$6,266.78 on November 15, 2023</w:t>
      </w:r>
      <w:r>
        <w:rPr>
          <w:rFonts w:ascii="Calibri" w:hAnsi="Calibri" w:eastAsia="Calibri"/>
          <w:b w:val="0"/>
          <w:i w:val="0"/>
          <w:color w:val="1A1A1A"/>
          <w:sz w:val="22"/>
        </w:rPr>
        <w:t xml:space="preserve"> to cure the Bank of America arrears. The defense brief says Bank of America filed notice on </w:t>
      </w:r>
      <w:r>
        <w:rPr>
          <w:rFonts w:ascii="Calibri" w:hAnsi="Calibri" w:eastAsia="Calibri"/>
          <w:b/>
          <w:i w:val="0"/>
          <w:color w:val="1A1A1A"/>
          <w:sz w:val="22"/>
        </w:rPr>
        <w:t>November 16</w:t>
      </w:r>
      <w:r>
        <w:rPr>
          <w:rFonts w:ascii="Calibri" w:hAnsi="Calibri" w:eastAsia="Calibri"/>
          <w:b w:val="0"/>
          <w:i w:val="0"/>
          <w:color w:val="1A1A1A"/>
          <w:sz w:val="22"/>
        </w:rPr>
        <w:t xml:space="preserve"> that foreclosure would not proceed, although the exhibit filename uses November 15.</w:t>
      </w:r>
    </w:p>
    <w:p>
      <w:pPr>
        <w:pStyle w:val="ListBullet"/>
      </w:pPr>
      <w:r>
        <w:rPr>
          <w:rFonts w:ascii="Calibri" w:hAnsi="Calibri" w:eastAsia="Calibri"/>
          <w:b w:val="0"/>
          <w:i w:val="0"/>
          <w:color w:val="1A1A1A"/>
          <w:sz w:val="22"/>
        </w:rPr>
        <w:t xml:space="preserve">The defense evidence describes Brynda signing the deed on </w:t>
      </w:r>
      <w:r>
        <w:rPr>
          <w:rFonts w:ascii="Calibri" w:hAnsi="Calibri" w:eastAsia="Calibri"/>
          <w:b/>
          <w:i w:val="0"/>
          <w:color w:val="1A1A1A"/>
          <w:sz w:val="22"/>
        </w:rPr>
        <w:t>November 28, 2023</w:t>
      </w:r>
      <w:r>
        <w:rPr>
          <w:rFonts w:ascii="Calibri" w:hAnsi="Calibri" w:eastAsia="Calibri"/>
          <w:b w:val="0"/>
          <w:i w:val="0"/>
          <w:color w:val="1A1A1A"/>
          <w:sz w:val="22"/>
        </w:rPr>
        <w:t>, while the deed was dated November 30 and other pleadings describe execution on November 30. The deed/notary/recording page is needed to resolve that distinction.</w:t>
      </w:r>
    </w:p>
    <w:p>
      <w:pPr>
        <w:pStyle w:val="ListBullet"/>
      </w:pPr>
      <w:r>
        <w:rPr>
          <w:rFonts w:ascii="Calibri" w:hAnsi="Calibri" w:eastAsia="Calibri"/>
          <w:b w:val="0"/>
          <w:i w:val="0"/>
          <w:color w:val="1A1A1A"/>
          <w:sz w:val="22"/>
        </w:rPr>
        <w:t xml:space="preserve">The lawsuit was filed on </w:t>
      </w:r>
      <w:r>
        <w:rPr>
          <w:rFonts w:ascii="Calibri" w:hAnsi="Calibri" w:eastAsia="Calibri"/>
          <w:b/>
          <w:i w:val="0"/>
          <w:color w:val="1A1A1A"/>
          <w:sz w:val="22"/>
        </w:rPr>
        <w:t>November 18, 2024</w:t>
      </w:r>
      <w:r>
        <w:rPr>
          <w:rFonts w:ascii="Calibri" w:hAnsi="Calibri" w:eastAsia="Calibri"/>
          <w:b w:val="0"/>
          <w:i w:val="0"/>
          <w:color w:val="1A1A1A"/>
          <w:sz w:val="22"/>
        </w:rPr>
        <w:t xml:space="preserve">. Service records indicate Buy Your Home received the summons and complaint on </w:t>
      </w:r>
      <w:r>
        <w:rPr>
          <w:rFonts w:ascii="Calibri" w:hAnsi="Calibri" w:eastAsia="Calibri"/>
          <w:b/>
          <w:i w:val="0"/>
          <w:color w:val="1A1A1A"/>
          <w:sz w:val="22"/>
        </w:rPr>
        <w:t>December 2, 2024</w:t>
      </w:r>
      <w:r>
        <w:rPr>
          <w:rFonts w:ascii="Calibri" w:hAnsi="Calibri" w:eastAsia="Calibri"/>
          <w:b w:val="0"/>
          <w:i w:val="0"/>
          <w:color w:val="1A1A1A"/>
          <w:sz w:val="22"/>
        </w:rPr>
        <w:t>, with an affidavit of service dated December 6.</w:t>
      </w:r>
    </w:p>
    <w:p>
      <w:r>
        <w:rPr>
          <w:rFonts w:ascii="Calibri" w:hAnsi="Calibri" w:eastAsia="Calibri"/>
          <w:b w:val="0"/>
          <w:i w:val="0"/>
          <w:color w:val="1A1A1A"/>
        </w:rPr>
        <w:t xml:space="preserve">Jenny's figures support two different financial presentations. A current sale cash-flow calculation produces an estimated </w:t>
      </w:r>
      <w:r>
        <w:rPr>
          <w:rFonts w:ascii="Calibri" w:hAnsi="Calibri" w:eastAsia="Calibri"/>
          <w:b/>
          <w:i w:val="0"/>
          <w:color w:val="1A1A1A"/>
        </w:rPr>
        <w:t>$7,308 to $17,308</w:t>
      </w:r>
      <w:r>
        <w:rPr>
          <w:rFonts w:ascii="Calibri" w:hAnsi="Calibri" w:eastAsia="Calibri"/>
          <w:b w:val="0"/>
          <w:i w:val="0"/>
          <w:color w:val="1A1A1A"/>
        </w:rPr>
        <w:t xml:space="preserve"> before historical acquisition/cure costs and litigation expenses. A broader economic calculation becomes negative after including historical HELOC payoff/cure amounts, but the source record contains conflicting figures and a possible overlap between the $6,267 reinstatement and $28,267 payoff. Those amounts must be reconciled before mediation.</w:t>
      </w:r>
    </w:p>
    <w:p>
      <w:r>
        <w:br w:type="page"/>
      </w:r>
    </w:p>
    <w:p>
      <w:pPr>
        <w:pStyle w:val="Heading1"/>
      </w:pPr>
      <w:r>
        <w:t>Corrected Timeline</w:t>
      </w:r>
    </w:p>
    <w:tbl>
      <w:tblPr>
        <w:tblStyle w:val="TableGrid"/>
        <w:tblW w:type="dxa" w:w="9360"/>
        <w:tblLayout w:type="fixed"/>
        <w:tblLook w:firstColumn="1" w:firstRow="1" w:lastColumn="0" w:lastRow="0" w:noHBand="0" w:noVBand="1" w:val="04A0"/>
        <w:tblInd w:w="12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1300"/>
        <w:gridCol w:w="2550"/>
        <w:gridCol w:w="4210"/>
        <w:gridCol w:w="1300"/>
      </w:tblGrid>
      <w:tr>
        <w:trPr>
          <w:tblHeader w:val="true"/>
          <w:cantSplit/>
        </w:trPr>
        <w:tc>
          <w:tcPr>
            <w:tcW w:type="dxa" w:w="130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6"/>
              </w:rPr>
              <w:t>Date</w:t>
            </w:r>
          </w:p>
        </w:tc>
        <w:tc>
          <w:tcPr>
            <w:tcW w:type="dxa" w:w="255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6"/>
              </w:rPr>
              <w:t>Event</w:t>
            </w:r>
          </w:p>
        </w:tc>
        <w:tc>
          <w:tcPr>
            <w:tcW w:type="dxa" w:w="421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6"/>
              </w:rPr>
              <w:t>Source and correction</w:t>
            </w:r>
          </w:p>
        </w:tc>
        <w:tc>
          <w:tcPr>
            <w:tcW w:type="dxa" w:w="1300"/>
            <w:tcMar>
              <w:top w:w="100" w:type="dxa"/>
              <w:start w:w="120" w:type="dxa"/>
              <w:bottom w:w="100" w:type="dxa"/>
              <w:end w:w="120" w:type="dxa"/>
            </w:tcMar>
            <w:vAlign w:val="center"/>
            <w:shd w:fill="19324D"/>
          </w:tcPr>
          <w:p>
            <w:pPr>
              <w:spacing w:before="0" w:after="0" w:line="240" w:lineRule="auto"/>
              <w:jc w:val="center"/>
            </w:pPr>
            <w:r>
              <w:rPr>
                <w:rFonts w:ascii="Calibri" w:hAnsi="Calibri" w:eastAsia="Calibri"/>
                <w:b/>
                <w:i w:val="0"/>
                <w:color w:val="FFFFFF"/>
                <w:sz w:val="16"/>
              </w:rPr>
              <w:t>Confidence</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Year of 2023</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Brynda's journals left in the house reportedly reinforce that she knew about the foreclosure, took an investor to her attorney for advice about an offer, understood that she had sold the property to Wes's company, documented rent due, and referred to what her landlord would think of improvements offered by a neighbor.</w:t>
            </w:r>
          </w:p>
        </w:tc>
        <w:tc>
          <w:tcPr>
            <w:tcW w:type="dxa" w:w="4210"/>
            <w:tcMar>
              <w:top w:w="100" w:type="dxa"/>
              <w:start w:w="120" w:type="dxa"/>
              <w:bottom w:w="100" w:type="dxa"/>
              <w:end w:w="120" w:type="dxa"/>
            </w:tcMar>
            <w:vAlign w:val="center"/>
          </w:tcPr>
          <w:p>
            <w:pPr>
              <w:spacing w:before="0" w:after="0" w:line="240" w:lineRule="auto"/>
              <w:jc w:val="left"/>
            </w:pPr>
            <w:r>
              <w:rPr>
                <w:rFonts w:ascii="Consolas" w:hAnsi="Consolas" w:eastAsia="Consolas"/>
                <w:color w:val="4D5B68"/>
                <w:sz w:val="15"/>
              </w:rPr>
              <w:t>(Wes noted, August 10, 2026.) The identified 16-page file titled 2024 Brynda Griffith's Handwritten Notes for Wes contains contact, medical, and grocery-order material rather than these entries. Obtain and cite the actual journal pages before relying on these assertions as primary evidence.</w:t>
            </w:r>
            <w:r>
              <w:rPr>
                <w:rFonts w:ascii="Calibri" w:hAnsi="Calibri" w:eastAsia="Calibri"/>
                <w:b w:val="0"/>
                <w:i w:val="0"/>
                <w:color w:val="1A1A1A"/>
                <w:sz w:val="16"/>
              </w:rPr>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Wes-provided assertion; primary journal pages not yet located</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2023-09-13</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Foreclosure notice issued concerning 115 Rosebrooks Drive.</w:t>
            </w:r>
          </w:p>
        </w:tc>
        <w:tc>
          <w:tcPr>
            <w:tcW w:type="dxa" w:w="4210"/>
            <w:tcMar>
              <w:top w:w="100" w:type="dxa"/>
              <w:start w:w="120" w:type="dxa"/>
              <w:bottom w:w="100" w:type="dxa"/>
              <w:end w:w="120" w:type="dxa"/>
            </w:tcMar>
            <w:vAlign w:val="center"/>
          </w:tcPr>
          <w:p>
            <w:pPr>
              <w:spacing w:before="0" w:after="0" w:line="240" w:lineRule="auto"/>
              <w:jc w:val="left"/>
            </w:pPr>
            <w:r>
              <w:rPr>
                <w:rFonts w:ascii="Consolas" w:hAnsi="Consolas" w:eastAsia="Consolas"/>
                <w:color w:val="4D5B68"/>
                <w:sz w:val="15"/>
              </w:rPr>
              <w:t>23-09-13 Notice of Foreclosure 115 Rosebrooks.pdf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2023-09-25</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Brynda met with attorney Kevin Huston and Duane Wilson concerning a possible sale while foreclosure was pending.</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Huston continued deposition 132:9-25 through 135:1-16. </w:t>
            </w:r>
            <w:r>
              <w:rPr>
                <w:rFonts w:ascii="Calibri" w:hAnsi="Calibri" w:eastAsia="Calibri"/>
                <w:b/>
                <w:i w:val="0"/>
                <w:color w:val="1A1A1A"/>
                <w:sz w:val="16"/>
              </w:rPr>
              <w:t>(Wes &amp; Jenny noted: this corrects September 15.)</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2023-09-25 or shortly after</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Huston contacted Natalie. His contemporaneous September 25 email documented the foreclosure circumstances and his understanding that Natalie was willing to assist Brynda financially.</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 xml:space="preserve">Huston continued deposition 133:1-24, 134:16-24, 135:1-16; </w:t>
            </w:r>
            <w:r>
              <w:rPr>
                <w:rFonts w:ascii="Consolas" w:hAnsi="Consolas" w:eastAsia="Consolas"/>
                <w:color w:val="4D5B68"/>
                <w:sz w:val="15"/>
              </w:rPr>
              <w:t>25-09-12 EMail from Huston to Beth Donner Exhibit 15 Huston, Kevin Job# 303627.pdf</w:t>
            </w:r>
            <w:r>
              <w:rPr>
                <w:rFonts w:ascii="Calibri" w:hAnsi="Calibri" w:eastAsia="Calibri"/>
                <w:b w:val="0"/>
                <w:i w:val="0"/>
                <w:color w:val="1A1A1A"/>
                <w:sz w:val="16"/>
              </w:rPr>
              <w:t>. Huston could not recall the precise words used with Natalie.</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Medium-high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2023-09-25</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Wilson's competing proposal was discussed.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The contemporaneous Huston email describes Wilson as trying to buy for $200,000; later Wilson/Huston evidence describes approximately $140,000. Preserve the discrepancy.</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Medium</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2023-10-28</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Brynda first called Wes.</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 xml:space="preserve">Plaintiff's summary-judgment brief. </w:t>
            </w:r>
            <w:r>
              <w:rPr>
                <w:rFonts w:ascii="Calibri" w:hAnsi="Calibri" w:eastAsia="Calibri"/>
                <w:b/>
                <w:i w:val="0"/>
                <w:color w:val="1A1A1A"/>
                <w:sz w:val="16"/>
              </w:rPr>
              <w:t>(Wes &amp; Jenny noted: this corrects October 23.)</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 as a party-supported date</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2023-10-29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Wes and Brynda met and discussed the transaction.</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Plaintiff's summary-judgment brief; defendants' brief describes the three-day transaction sequence ending October 31. </w:t>
            </w:r>
            <w:r>
              <w:rPr>
                <w:rFonts w:ascii="Calibri" w:hAnsi="Calibri" w:eastAsia="Calibri"/>
                <w:b/>
                <w:i w:val="0"/>
                <w:color w:val="1A1A1A"/>
                <w:sz w:val="16"/>
              </w:rPr>
              <w:t>(Wes &amp; Jenny noted: this corrects October 23.)</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 as a party-supported date</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2023-10-31</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Brynda signed the Purchase and Sale Agreement, lease, and power of attorney.</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Signed agreement and lease; Answer paragraphs 20-21; both summary-judgment briefs.</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2023-11-01</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Foreclosure was authorized.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onsolas" w:hAnsi="Consolas" w:eastAsia="Consolas"/>
                <w:color w:val="4D5B68"/>
                <w:sz w:val="15"/>
              </w:rPr>
              <w:t>23-11-01 Foreclosure Granted 115 Rosebrooks.pdf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2023-11-15</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Wes paid Bank of America $6,266.78 to cure the arrears.</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 xml:space="preserve">Defendants' summary-judgment brief. </w:t>
            </w:r>
            <w:r>
              <w:rPr>
                <w:rFonts w:ascii="Calibri" w:hAnsi="Calibri" w:eastAsia="Calibri"/>
                <w:b/>
                <w:i w:val="0"/>
                <w:color w:val="1A1A1A"/>
                <w:sz w:val="16"/>
              </w:rPr>
              <w:t>(Wes &amp; Jenny noted: this completes the missing payment date.)</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 as a supported defense fact</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2023-11-16</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Bank of America filed notice that the foreclosure would not proceed.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Defendants' summary-judgment brief. The exhibit is named </w:t>
            </w:r>
            <w:r>
              <w:rPr>
                <w:rFonts w:ascii="Consolas" w:hAnsi="Consolas" w:eastAsia="Consolas"/>
                <w:color w:val="4D5B68"/>
                <w:sz w:val="15"/>
              </w:rPr>
              <w:t>23-11-15 Foreclosure Withdrawn.pdf</w:t>
            </w:r>
            <w:r>
              <w:rPr>
                <w:rFonts w:ascii="Calibri" w:hAnsi="Calibri" w:eastAsia="Calibri"/>
                <w:b w:val="0"/>
                <w:i w:val="0"/>
                <w:color w:val="1A1A1A"/>
                <w:sz w:val="16"/>
              </w:rPr>
              <w:t>, so counsel should confirm the filed-stamp date.</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Medium-high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2023-11-28 / 2023-11-30</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defense evidence says Brynda supplied the missing deed signature on November 28; the instrument was dated November 30. The Answer and plaintiff's brief describe execution on November 30.</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Defendants' brief and Browning affidavit; Answer paragraph 22; plaintiff's brief.</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Medium pending instrument review</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Unknown, before 2024-09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The property was refinanced and the prior HELOC was paid.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The routed compilation says refinancing preceded the September 2024 meeting. No refinancing instrument or closing statement was located in the scoped source set.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Open</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2024-09-15</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Wes and Jenny had lunch for about one hour with Natalie, her husband, and Brynda.</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Natalie deposition 54:12-24 and 59:9-24.</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2024-09-28 to 2024-09-29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During Natalie's second September visit, she used Brynda's phone to text Wes as if she were Brynda and intentionally did not disclose herself.</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Natalie deposition 77:1-23 and 83:1-10.</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2024-09-30</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Brynda executed a will with Huston while Natalie was present.</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Huston deposition vol. I 35:9-24 and related will testimony.</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2024-11-18</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The civil action was initiated/filed.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Defendants' summary-judgment brief procedural history. </w:t>
            </w:r>
            <w:r>
              <w:rPr>
                <w:rFonts w:ascii="Calibri" w:hAnsi="Calibri" w:eastAsia="Calibri"/>
                <w:b/>
                <w:i w:val="0"/>
                <w:color w:val="1A1A1A"/>
                <w:sz w:val="16"/>
              </w:rPr>
              <w:t>(Wes &amp; Jenny noted: this is a filing date, not the verified service date.)</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2024-11-19</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court entered the initial guardian-ad-litem order without an incompetency finding identified in the reviewed record.</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Motion to Vacate GAL Appointment and related order history.</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2024-12-02</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Buy Your Home received the summons and complaint by USPS.</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onsolas" w:hAnsi="Consolas" w:eastAsia="Consolas"/>
                <w:color w:val="4D5B68"/>
                <w:sz w:val="15"/>
              </w:rPr>
              <w:t>25-01-13 BYH - Summons &amp; Complaint recd 20241202 usps.pdf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2024-12-06</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Affidavit of service regarding Buy Your Home was dated.</w:t>
            </w:r>
          </w:p>
        </w:tc>
        <w:tc>
          <w:tcPr>
            <w:tcW w:type="dxa" w:w="4210"/>
            <w:tcMar>
              <w:top w:w="100" w:type="dxa"/>
              <w:start w:w="120" w:type="dxa"/>
              <w:bottom w:w="100" w:type="dxa"/>
              <w:end w:w="120" w:type="dxa"/>
            </w:tcMar>
            <w:vAlign w:val="center"/>
          </w:tcPr>
          <w:p>
            <w:pPr>
              <w:spacing w:before="0" w:after="0" w:line="240" w:lineRule="auto"/>
              <w:jc w:val="left"/>
            </w:pPr>
            <w:r>
              <w:rPr>
                <w:rFonts w:ascii="Consolas" w:hAnsi="Consolas" w:eastAsia="Consolas"/>
                <w:color w:val="4D5B68"/>
                <w:sz w:val="15"/>
              </w:rPr>
              <w:t>25-01-13 BYH - Aff of Svc of Process Def Buy Your Home 20241206.pdf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2025-01-29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Defendants moved to vacate the GAL appointment.</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Motion to Vacate GAL Appointment.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2025-03-18</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GAL appointment was vacated.</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Vacatur order/history cited in the defense analysis.</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2025-04-07</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Amended complaint filed.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Procedural history in the summary-judgment materials.</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2025-04-09</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Wes and Jenny refer to an offer email bearing this date.</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original April 9 email was not located in the reviewed Outlook or scoped source set. Do not quote or characterize its terms until obtained.</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Unverified</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2025-05-21</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Defense settlement response proposed discussing a buyout of Brynda's lease in exchange for a full release and dismissal without prejudice.</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SharePoint </w:t>
            </w:r>
            <w:r>
              <w:rPr>
                <w:rFonts w:ascii="Consolas" w:hAnsi="Consolas" w:eastAsia="Consolas"/>
                <w:color w:val="4D5B68"/>
                <w:sz w:val="15"/>
              </w:rPr>
              <w:t>25-05-21 Offer to settle.docx</w:t>
            </w:r>
            <w:r>
              <w:rPr>
                <w:rFonts w:ascii="Calibri" w:hAnsi="Calibri" w:eastAsia="Calibri"/>
                <w:b w:val="0"/>
                <w:i w:val="0"/>
                <w:color w:val="1A1A1A"/>
                <w:sz w:val="16"/>
              </w:rPr>
              <w:t xml:space="preserve">, responding to opposing counsel's May 16 letter. </w:t>
            </w:r>
            <w:r>
              <w:rPr>
                <w:rFonts w:ascii="Calibri" w:hAnsi="Calibri" w:eastAsia="Calibri"/>
                <w:b/>
                <w:i w:val="0"/>
                <w:color w:val="1A1A1A"/>
                <w:sz w:val="16"/>
              </w:rPr>
              <w:t>(Wes &amp; Jenny noted: this is the verified lease-buyout proposal date in the present record.)</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bl>
    <w:p>
      <w:pPr>
        <w:spacing w:after="40"/>
      </w:pPr>
    </w:p>
    <w:p>
      <w:pPr>
        <w:pStyle w:val="Heading1"/>
      </w:pPr>
      <w:r>
        <w:t>Background</w:t>
      </w:r>
    </w:p>
    <w:p>
      <w:r>
        <w:rPr>
          <w:rFonts w:ascii="Calibri" w:hAnsi="Calibri" w:eastAsia="Calibri"/>
          <w:b w:val="0"/>
          <w:i w:val="0"/>
          <w:color w:val="1A1A1A"/>
        </w:rPr>
        <w:t>The defense account is that Wes gave Brynda the outcome she said she needed: the ability to remain in the townhome because she had nowhere else to go. The arrangement provided a lifetime lease at the cost of property insurance, described as substantially below market rent.</w:t>
      </w:r>
    </w:p>
    <w:p>
      <w:r>
        <w:rPr>
          <w:rFonts w:ascii="Calibri" w:hAnsi="Calibri" w:eastAsia="Calibri"/>
          <w:b w:val="0"/>
          <w:i w:val="0"/>
          <w:color w:val="1A1A1A"/>
        </w:rPr>
        <w:t xml:space="preserve">Wes did not meet Natalie until September 2024, approximately ten months after the acquisition and leaseback. By then the prior HELOC had been paid and the property had been refinanced, with proceeds reportedly used in the business on other properties. </w:t>
      </w:r>
      <w:r>
        <w:rPr>
          <w:rFonts w:ascii="Calibri" w:hAnsi="Calibri" w:eastAsia="Calibri"/>
          <w:b/>
          <w:i w:val="0"/>
          <w:color w:val="1A1A1A"/>
        </w:rPr>
        <w:t>(Wes &amp; Jenny noted: they personally guaranteed the current mortgage.)</w:t>
      </w:r>
    </w:p>
    <w:p>
      <w:r>
        <w:rPr>
          <w:rFonts w:ascii="Calibri" w:hAnsi="Calibri" w:eastAsia="Calibri"/>
          <w:b w:val="0"/>
          <w:i w:val="0"/>
          <w:color w:val="1A1A1A"/>
        </w:rPr>
        <w:t>The defense position is strengthened by Brynda's consideration of Wilson's competing purchase proposal. She took Wilson to her own attorney, understood that he wanted to purchase the property, and did not accept his proposal while prioritizing her ability to remain in the home. This is not a contradiction in Natalie's testimony, but it supports deliberation about both sale and continued possession. The Wilson offer amount remains disputed between the contemporaneous email and later testimony.</w:t>
      </w:r>
    </w:p>
    <w:p>
      <w:pPr>
        <w:pStyle w:val="Heading1"/>
      </w:pPr>
      <w:r>
        <w:t>Claims And Litigation History</w:t>
      </w:r>
    </w:p>
    <w:p>
      <w:r>
        <w:rPr>
          <w:rFonts w:ascii="Calibri" w:hAnsi="Calibri" w:eastAsia="Calibri"/>
          <w:b w:val="0"/>
          <w:i w:val="0"/>
          <w:color w:val="1A1A1A"/>
        </w:rPr>
        <w:t>Natalie and Noreen did not attempt to renegotiate the transaction with Wes before filing suit. The lawsuit asserted claims involving the disputed guardian-ad-litem procedure, fraud, Chapter 75, and punitive damages. Defendants also litigated the GAL appointment.</w:t>
      </w:r>
    </w:p>
    <w:p>
      <w:r>
        <w:rPr>
          <w:rFonts w:ascii="Calibri" w:hAnsi="Calibri" w:eastAsia="Calibri"/>
          <w:b w:val="0"/>
          <w:i w:val="0"/>
          <w:color w:val="1A1A1A"/>
        </w:rPr>
        <w:t>The defense raised potential Rule 11 concerns because claims allegedly relied on a power of attorney viewed as irrelevant to the sale. In plain terms, the concern is that the factual or legal basis for relying on that document may have been insufficient. This is a litigation position, not a finding that plaintiff or counsel violated Rule 11 or that sanctions will be imposed.</w:t>
      </w:r>
    </w:p>
    <w:p>
      <w:r>
        <w:rPr>
          <w:rFonts w:ascii="Calibri" w:hAnsi="Calibri" w:eastAsia="Calibri"/>
          <w:b w:val="0"/>
          <w:i w:val="0"/>
          <w:color w:val="1A1A1A"/>
        </w:rPr>
        <w:t>The presently verified lease-buyout response is dated May 21, 2025. It proposed discussing a lease buyout in exchange for a full release and dismissal without prejudice and rejected plaintiff's proposal that Wes purchase property his company already owned. The April 9 source and the alleged additional $281,000 demand still need to be located before their exact terms are used.</w:t>
      </w:r>
    </w:p>
    <w:p>
      <w:r>
        <w:rPr>
          <w:rFonts w:ascii="Calibri" w:hAnsi="Calibri" w:eastAsia="Calibri"/>
          <w:b w:val="0"/>
          <w:i w:val="0"/>
          <w:color w:val="1A1A1A"/>
        </w:rPr>
        <w:t>Discovery and summary-judgment proceedings followed, including a motion to compel and depositions of Brynda, Natalie, Frances, and Huston over two sessions.</w:t>
      </w:r>
    </w:p>
    <w:p>
      <w:pPr>
        <w:pStyle w:val="Heading1"/>
      </w:pPr>
      <w:r>
        <w:t>Rescission And The Remaining Alternative Claim</w:t>
      </w:r>
    </w:p>
    <w:p>
      <w:r>
        <w:rPr>
          <w:rFonts w:ascii="Calibri" w:hAnsi="Calibri" w:eastAsia="Calibri"/>
          <w:b w:val="0"/>
          <w:i w:val="0"/>
          <w:color w:val="1A1A1A"/>
        </w:rPr>
        <w:t>Rescission asks a court to unwind a transaction and attempt to restore the parties to their pre-transaction positions rather than simply award ordinary damages. The proposed summary-judgment order in the source set would leave only undue influence for trial, but it is not the signed, entered order. The operative order must be obtained before representing that rescission, Chapter 75, fraud, or other relief has definitively been removed.</w:t>
      </w:r>
    </w:p>
    <w:p>
      <w:r>
        <w:rPr>
          <w:rFonts w:ascii="Calibri" w:hAnsi="Calibri" w:eastAsia="Calibri"/>
          <w:b w:val="0"/>
          <w:i w:val="0"/>
          <w:color w:val="1A1A1A"/>
        </w:rPr>
        <w:t>Undue influence would contend, in plain terms, that Brynda's decision was improperly controlled or overborne by another person's influence. The defense emphasizes that Wes had known Brynda for only a few days, Brynda contacted him, she consulted her own attorney about another proposal, and she had multiple options. Those points support the defense view but are not a judicial determination.</w:t>
      </w:r>
    </w:p>
    <w:p>
      <w:r>
        <w:rPr>
          <w:rFonts w:ascii="Calibri" w:hAnsi="Calibri" w:eastAsia="Calibri"/>
          <w:b w:val="0"/>
          <w:i w:val="0"/>
          <w:color w:val="1A1A1A"/>
        </w:rPr>
        <w:t>Counsel should confirm what remedy remains available after Brynda's death, who has standing, whether plaintiff seeks an additional monetary judgment sufficient to address the mortgage, and the effect on appeal.</w:t>
      </w:r>
    </w:p>
    <w:p>
      <w:pPr>
        <w:pStyle w:val="Heading1"/>
      </w:pPr>
      <w:r>
        <w:t>Fraud, Chapter 75, And Appeal</w:t>
      </w:r>
    </w:p>
    <w:p>
      <w:r>
        <w:rPr>
          <w:rFonts w:ascii="Calibri" w:hAnsi="Calibri" w:eastAsia="Calibri"/>
          <w:b/>
          <w:i w:val="0"/>
          <w:color w:val="1A1A1A"/>
        </w:rPr>
        <w:t>Fraud</w:t>
      </w:r>
      <w:r>
        <w:rPr>
          <w:rFonts w:ascii="Calibri" w:hAnsi="Calibri" w:eastAsia="Calibri"/>
          <w:b w:val="0"/>
          <w:i w:val="0"/>
          <w:color w:val="1A1A1A"/>
        </w:rPr>
        <w:t xml:space="preserve"> </w:t>
      </w:r>
      <w:r>
        <w:rPr>
          <w:rFonts w:ascii="Calibri" w:hAnsi="Calibri" w:eastAsia="Calibri"/>
          <w:b w:val="0"/>
          <w:i/>
          <w:color w:val="1A1A1A"/>
        </w:rPr>
        <w:t>(in plain terms: an intentional material misrepresentation or concealment made to deceive, reasonable reliance by the other party, and resulting injury).</w:t>
      </w:r>
      <w:r>
        <w:rPr>
          <w:rFonts w:ascii="Calibri" w:hAnsi="Calibri" w:eastAsia="Calibri"/>
          <w:b w:val="0"/>
          <w:i w:val="0"/>
          <w:color w:val="1A1A1A"/>
        </w:rPr>
        <w:t xml:space="preserve"> Whether those elements apply here is a legal question for counsel; the record should not be summarized as proving fraud by either side.</w:t>
      </w:r>
    </w:p>
    <w:p>
      <w:r>
        <w:rPr>
          <w:rFonts w:ascii="Calibri" w:hAnsi="Calibri" w:eastAsia="Calibri"/>
          <w:b/>
          <w:i w:val="0"/>
          <w:color w:val="1A1A1A"/>
        </w:rPr>
        <w:t>Chapter 75</w:t>
      </w:r>
      <w:r>
        <w:rPr>
          <w:rFonts w:ascii="Calibri" w:hAnsi="Calibri" w:eastAsia="Calibri"/>
          <w:b w:val="0"/>
          <w:i w:val="0"/>
          <w:color w:val="1A1A1A"/>
        </w:rPr>
        <w:t xml:space="preserve"> </w:t>
      </w:r>
      <w:r>
        <w:rPr>
          <w:rFonts w:ascii="Calibri" w:hAnsi="Calibri" w:eastAsia="Calibri"/>
          <w:b w:val="0"/>
          <w:i/>
          <w:color w:val="1A1A1A"/>
        </w:rPr>
        <w:t>(in plain terms: North Carolina's statutory prohibition on unfair or deceptive acts or practices in or affecting commerce).</w:t>
      </w:r>
      <w:r>
        <w:rPr>
          <w:rFonts w:ascii="Calibri" w:hAnsi="Calibri" w:eastAsia="Calibri"/>
          <w:b w:val="0"/>
          <w:i w:val="0"/>
          <w:color w:val="1A1A1A"/>
        </w:rPr>
        <w:t xml:space="preserve"> If a claimant proves a covered violation and injury, assessed damages are trebled under G.S. 75-16. Attorney fees are discretionary and require the findings stated in G.S. 75-16.1; they are not automatic. See </w:t>
      </w:r>
      <w:hyperlink r:id="rId11">
        <w:r>
          <w:rPr>
            <w:color w:val="2E5D7B"/>
            <w:u w:val="single"/>
          </w:rPr>
          <w:t>N.C. Gen. Stat. Chapter 75</w:t>
        </w:r>
      </w:hyperlink>
      <w:r>
        <w:rPr>
          <w:rFonts w:ascii="Calibri" w:hAnsi="Calibri" w:eastAsia="Calibri"/>
          <w:b w:val="0"/>
          <w:i w:val="0"/>
          <w:color w:val="1A1A1A"/>
        </w:rPr>
        <w:t>.</w:t>
      </w:r>
    </w:p>
    <w:p>
      <w:r>
        <w:rPr>
          <w:rFonts w:ascii="Calibri" w:hAnsi="Calibri" w:eastAsia="Calibri"/>
          <w:b w:val="0"/>
          <w:i w:val="0"/>
          <w:color w:val="1A1A1A"/>
        </w:rPr>
        <w:t>The defense identifies a threshold pleading problem with the Chapter 75 claim, meaning the complaint may not allege what is legally required before the merits are reached. Counsel must identify the exact defect and whether the entered order adopted that position.</w:t>
      </w:r>
    </w:p>
    <w:p>
      <w:r>
        <w:rPr>
          <w:rFonts w:ascii="Calibri" w:hAnsi="Calibri" w:eastAsia="Calibri"/>
          <w:b w:val="0"/>
          <w:i w:val="0"/>
          <w:color w:val="1A1A1A"/>
        </w:rPr>
        <w:t>The defense assesses the likelihood of reversal and sanctions exposure favorably. Those are strategic assessments, not established outcomes. Any mediation statement should preserve rights without promising an unsupported countersuit or making a personal threat.</w:t>
      </w:r>
    </w:p>
    <w:p>
      <w:pPr>
        <w:pStyle w:val="Heading1"/>
      </w:pPr>
      <w:r>
        <w:t>Three Counsel-Review Credibility Issues</w:t>
      </w:r>
    </w:p>
    <w:p>
      <w:pPr>
        <w:pStyle w:val="Heading2"/>
      </w:pPr>
      <w:r>
        <w:t>1. Foreclosure Knowledge</w:t>
      </w:r>
    </w:p>
    <w:p>
      <w:r>
        <w:rPr>
          <w:rFonts w:ascii="Calibri" w:hAnsi="Calibri" w:eastAsia="Calibri"/>
          <w:b w:val="0"/>
          <w:i w:val="0"/>
          <w:color w:val="1A1A1A"/>
        </w:rPr>
        <w:t>Natalie testified that she first learned of the foreclosure in summer 2024. Huston contacted her on or shortly after September 25, 2023, after meeting with Brynda and Wilson about the pending foreclosure; his contemporaneous email recorded his understanding that Natalie was willing to help Brynda financially. Huston could not recall whether he expressly used the word "foreclosure" or discussed the mortgage.</w:t>
      </w:r>
    </w:p>
    <w:p>
      <w:pPr>
        <w:pStyle w:val="Callout"/>
        <w:shd w:fill="EAF1F6"/>
        <w:pBdr>
          <w:left w:val="single" w:sz="18" w:space="8" w:color="2E5D7B"/>
        </w:pBdr>
      </w:pPr>
      <w:r>
        <w:rPr>
          <w:rFonts w:ascii="Calibri" w:hAnsi="Calibri" w:eastAsia="Calibri"/>
          <w:b/>
          <w:color w:val="19324D"/>
          <w:sz w:val="20"/>
        </w:rPr>
        <w:t xml:space="preserve">RECOMMENDED WORDING. </w:t>
      </w:r>
      <w:r>
        <w:rPr>
          <w:rFonts w:ascii="Calibri" w:hAnsi="Calibri" w:eastAsia="Calibri"/>
          <w:b w:val="0"/>
          <w:i w:val="0"/>
          <w:color w:val="1A1A1A"/>
          <w:sz w:val="20"/>
        </w:rPr>
        <w:t>Natalie's account is difficult to reconcile with Huston's contemporaneous record and testimony. The record does not conclusively prove what exact foreclosure information she received.</w:t>
      </w:r>
    </w:p>
    <w:p>
      <w:pPr>
        <w:pStyle w:val="Heading2"/>
      </w:pPr>
      <w:r>
        <w:t>2. Guardian-Ad-Litem Position</w:t>
      </w:r>
    </w:p>
    <w:p>
      <w:r>
        <w:rPr>
          <w:rFonts w:ascii="Calibri" w:hAnsi="Calibri" w:eastAsia="Calibri"/>
          <w:b w:val="0"/>
          <w:i w:val="0"/>
          <w:color w:val="1A1A1A"/>
        </w:rPr>
        <w:t>Natalie's GAL petition represented that she was disinterested. The September 30, 2024 will, however, gives the residue of Brynda's estate to Natalie outright and names Natalie as personal representative. Huston's testimony establishes that Natalie and her husband brought Brynda to his office when the will was executed. (Wes noted: Natalie also directed the will's formation and knew of her resulting interest when the GAL petition was filed; that direction and state-of-mind assertion require confirmation from the underlying communications or testimony.) The GAL appointment was later vacated after a defense challenge concerning notice, hearing, and the lack of an incompetency finding.</w:t>
      </w:r>
    </w:p>
    <w:p>
      <w:pPr>
        <w:pStyle w:val="Callout"/>
        <w:shd w:fill="EAF1F6"/>
        <w:pBdr>
          <w:left w:val="single" w:sz="18" w:space="8" w:color="2E5D7B"/>
        </w:pBdr>
      </w:pPr>
      <w:r>
        <w:rPr>
          <w:rFonts w:ascii="Calibri" w:hAnsi="Calibri" w:eastAsia="Calibri"/>
          <w:b/>
          <w:color w:val="19324D"/>
          <w:sz w:val="20"/>
        </w:rPr>
        <w:t>RECOMMENDED WORDING. The disinterested-status assertion is difficult to reconcile with the will's direct benefit to Natalie, her nomination as personal representative, and her participation in bringing Brynda to Huston's office. This creates a legitimate credibility and process issue. The record reviewed does not by itself establish that the petition statement was knowingly false, and vacatur alone is not proof of dishonesty or improper purpose.</w:t>
      </w:r>
      <w:r>
        <w:rPr>
          <w:rFonts w:ascii="Calibri" w:hAnsi="Calibri" w:eastAsia="Calibri"/>
          <w:b w:val="0"/>
          <w:i w:val="0"/>
          <w:color w:val="1A1A1A"/>
          <w:sz w:val="20"/>
        </w:rPr>
      </w:r>
    </w:p>
    <w:p>
      <w:pPr>
        <w:pStyle w:val="Heading2"/>
      </w:pPr>
      <w:r>
        <w:t>3. Text Impersonation</w:t>
      </w:r>
    </w:p>
    <w:p>
      <w:r>
        <w:rPr>
          <w:rFonts w:ascii="Calibri" w:hAnsi="Calibri" w:eastAsia="Calibri"/>
          <w:b w:val="0"/>
          <w:i w:val="0"/>
          <w:color w:val="1A1A1A"/>
        </w:rPr>
        <w:t>Natalie admitted that she possessed Brynda's phone, texted Wes in a manner that allowed him to believe the messages came from Brynda, did not disclose herself, and did so because she did not want Wes to know Brynda had left the home.</w:t>
      </w:r>
    </w:p>
    <w:p>
      <w:pPr>
        <w:pStyle w:val="Callout"/>
        <w:shd w:fill="EAF1F6"/>
        <w:pBdr>
          <w:left w:val="single" w:sz="18" w:space="8" w:color="2E5D7B"/>
        </w:pBdr>
      </w:pPr>
      <w:r>
        <w:rPr>
          <w:rFonts w:ascii="Calibri" w:hAnsi="Calibri" w:eastAsia="Calibri"/>
          <w:b/>
          <w:color w:val="19324D"/>
          <w:sz w:val="20"/>
        </w:rPr>
        <w:t xml:space="preserve">RECOMMENDED WORDING. </w:t>
      </w:r>
      <w:r>
        <w:rPr>
          <w:rFonts w:ascii="Calibri" w:hAnsi="Calibri" w:eastAsia="Calibri"/>
          <w:b w:val="0"/>
          <w:i w:val="0"/>
          <w:color w:val="1A1A1A"/>
          <w:sz w:val="20"/>
        </w:rPr>
        <w:t>This is an admitted deceptive communication practice directly relevant to credibility. Use the exact deposition admission rather than the broader unsupported label "lied three times."</w:t>
      </w:r>
    </w:p>
    <w:p>
      <w:r>
        <w:br w:type="page"/>
      </w:r>
    </w:p>
    <w:p>
      <w:pPr>
        <w:pStyle w:val="Heading1"/>
      </w:pPr>
      <w:r>
        <w:t>Financial Presentation</w:t>
      </w:r>
    </w:p>
    <w:p>
      <w:pPr>
        <w:pStyle w:val="Heading2"/>
      </w:pPr>
      <w:r>
        <w:t>Estimated Current Sale Cash Flow</w:t>
      </w:r>
    </w:p>
    <w:p>
      <w:r>
        <w:rPr>
          <w:rFonts w:ascii="Calibri" w:hAnsi="Calibri" w:eastAsia="Calibri"/>
          <w:b w:val="0"/>
          <w:i w:val="0"/>
          <w:color w:val="1A1A1A"/>
        </w:rPr>
        <w:t xml:space="preserve">The figures below are from Jenny's July 29 notes. The current mortgage balance is therefore a </w:t>
      </w:r>
      <w:r>
        <w:rPr>
          <w:rFonts w:ascii="Calibri" w:hAnsi="Calibri" w:eastAsia="Calibri"/>
          <w:b/>
          <w:i w:val="0"/>
          <w:color w:val="1A1A1A"/>
        </w:rPr>
        <w:t>provisional figure</w:t>
      </w:r>
      <w:r>
        <w:rPr>
          <w:rFonts w:ascii="Calibri" w:hAnsi="Calibri" w:eastAsia="Calibri"/>
          <w:b w:val="0"/>
          <w:i w:val="0"/>
          <w:color w:val="1A1A1A"/>
        </w:rPr>
        <w:t xml:space="preserve">, not an independently verified record amount. The lease-buyout value remains </w:t>
      </w:r>
      <w:r>
        <w:rPr>
          <w:rFonts w:ascii="Calibri" w:hAnsi="Calibri" w:eastAsia="Calibri"/>
          <w:b/>
          <w:i w:val="0"/>
          <w:color w:val="1A1A1A"/>
        </w:rPr>
        <w:t>unestablished</w:t>
      </w:r>
      <w:r>
        <w:rPr>
          <w:rFonts w:ascii="Calibri" w:hAnsi="Calibri" w:eastAsia="Calibri"/>
          <w:b w:val="0"/>
          <w:i w:val="0"/>
          <w:color w:val="1A1A1A"/>
        </w:rPr>
        <w:t>.</w:t>
      </w:r>
    </w:p>
    <w:tbl>
      <w:tblPr>
        <w:tblStyle w:val="TableGrid"/>
        <w:tblW w:type="dxa" w:w="9360"/>
        <w:tblLayout w:type="fixed"/>
        <w:tblLook w:firstColumn="1" w:firstRow="1" w:lastColumn="0" w:lastRow="0" w:noHBand="0" w:noVBand="1" w:val="04A0"/>
        <w:tblInd w:w="12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4500"/>
        <w:gridCol w:w="2430"/>
        <w:gridCol w:w="2430"/>
      </w:tblGrid>
      <w:tr>
        <w:trPr>
          <w:tblHeader w:val="true"/>
          <w:cantSplit/>
        </w:trPr>
        <w:tc>
          <w:tcPr>
            <w:tcW w:type="dxa" w:w="450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9"/>
              </w:rPr>
              <w:t>Item</w:t>
            </w:r>
          </w:p>
        </w:tc>
        <w:tc>
          <w:tcPr>
            <w:tcW w:type="dxa" w:w="2430"/>
            <w:tcMar>
              <w:top w:w="100" w:type="dxa"/>
              <w:start w:w="120" w:type="dxa"/>
              <w:bottom w:w="100" w:type="dxa"/>
              <w:end w:w="120" w:type="dxa"/>
            </w:tcMar>
            <w:vAlign w:val="center"/>
            <w:shd w:fill="19324D"/>
          </w:tcPr>
          <w:p>
            <w:pPr>
              <w:spacing w:before="0" w:after="0" w:line="240" w:lineRule="auto"/>
              <w:jc w:val="right"/>
            </w:pPr>
            <w:r>
              <w:rPr>
                <w:rFonts w:ascii="Calibri" w:hAnsi="Calibri" w:eastAsia="Calibri"/>
                <w:b/>
                <w:i w:val="0"/>
                <w:color w:val="FFFFFF"/>
                <w:sz w:val="19"/>
              </w:rPr>
              <w:t>Low-rehab scenario</w:t>
            </w:r>
          </w:p>
        </w:tc>
        <w:tc>
          <w:tcPr>
            <w:tcW w:type="dxa" w:w="2430"/>
            <w:tcMar>
              <w:top w:w="100" w:type="dxa"/>
              <w:start w:w="120" w:type="dxa"/>
              <w:bottom w:w="100" w:type="dxa"/>
              <w:end w:w="120" w:type="dxa"/>
            </w:tcMar>
            <w:vAlign w:val="center"/>
            <w:shd w:fill="19324D"/>
          </w:tcPr>
          <w:p>
            <w:pPr>
              <w:spacing w:before="0" w:after="0" w:line="240" w:lineRule="auto"/>
              <w:jc w:val="right"/>
            </w:pPr>
            <w:r>
              <w:rPr>
                <w:rFonts w:ascii="Calibri" w:hAnsi="Calibri" w:eastAsia="Calibri"/>
                <w:b/>
                <w:i w:val="0"/>
                <w:color w:val="FFFFFF"/>
                <w:sz w:val="19"/>
              </w:rPr>
              <w:t>High-rehab scenario</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Fully remodeled sale price</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$250,000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$250,000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realtor commission</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($12,500)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($12,500)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mortgage payoff as of 2026-07-03</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($178,692)</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($178,692)</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estimated rehab</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($40,000)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($50,000)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estimated closing costs</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($1,500)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($1,500)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i w:val="0"/>
                <w:color w:val="1A1A1A"/>
                <w:sz w:val="19"/>
              </w:rPr>
              <w:t>Estimated cash remaining at sale</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i w:val="0"/>
                <w:color w:val="1A1A1A"/>
                <w:sz w:val="19"/>
              </w:rPr>
              <w:t>$17,308</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i w:val="0"/>
                <w:color w:val="1A1A1A"/>
                <w:sz w:val="19"/>
              </w:rPr>
              <w:t>$7,308</w:t>
            </w:r>
          </w:p>
        </w:tc>
      </w:tr>
    </w:tbl>
    <w:p>
      <w:pPr>
        <w:spacing w:after="40"/>
      </w:pPr>
    </w:p>
    <w:p>
      <w:r>
        <w:rPr>
          <w:rFonts w:ascii="Calibri" w:hAnsi="Calibri" w:eastAsia="Calibri"/>
          <w:b w:val="0"/>
          <w:i w:val="0"/>
          <w:color w:val="1A1A1A"/>
        </w:rPr>
        <w:t>These figures alone do not produce a negative sale result. They estimate cash remaining after the current lien and sale/rehab costs. Historical acquisition costs and litigation losses must be shown separately to explain the overall negative economic result.</w:t>
      </w:r>
    </w:p>
    <w:p>
      <w:pPr>
        <w:pStyle w:val="Heading2"/>
      </w:pPr>
      <w:r>
        <w:t>Historical HELOC And Cure Costs</w:t>
      </w:r>
    </w:p>
    <w:p>
      <w:r>
        <w:rPr>
          <w:rFonts w:ascii="Calibri" w:hAnsi="Calibri" w:eastAsia="Calibri"/>
          <w:b w:val="0"/>
          <w:i w:val="0"/>
          <w:color w:val="1A1A1A"/>
        </w:rPr>
        <w:t>Jenny's notes list a $28,267 HELOC payoff and a $6,267 reinstatement/cure. The record must establish whether the cure is included in the payoff.</w:t>
      </w:r>
    </w:p>
    <w:p>
      <w:pPr>
        <w:pStyle w:val="ListBullet"/>
      </w:pPr>
      <w:r>
        <w:rPr>
          <w:rFonts w:ascii="Calibri" w:hAnsi="Calibri" w:eastAsia="Calibri"/>
          <w:b w:val="0"/>
          <w:i w:val="0"/>
          <w:color w:val="1A1A1A"/>
          <w:sz w:val="22"/>
        </w:rPr>
        <w:t xml:space="preserve">If the $6,267 is included in $28,267, subtracting the historical amount from estimated sale cash produces approximately </w:t>
      </w:r>
      <w:r>
        <w:rPr>
          <w:rFonts w:ascii="Calibri" w:hAnsi="Calibri" w:eastAsia="Calibri"/>
          <w:b/>
          <w:i w:val="0"/>
          <w:color w:val="1A1A1A"/>
          <w:sz w:val="22"/>
        </w:rPr>
        <w:t>negative $10,959 to negative $20,959</w:t>
      </w:r>
      <w:r>
        <w:rPr>
          <w:rFonts w:ascii="Calibri" w:hAnsi="Calibri" w:eastAsia="Calibri"/>
          <w:b w:val="0"/>
          <w:i w:val="0"/>
          <w:color w:val="1A1A1A"/>
          <w:sz w:val="22"/>
        </w:rPr>
        <w:t>.</w:t>
      </w:r>
    </w:p>
    <w:p>
      <w:pPr>
        <w:pStyle w:val="ListBullet"/>
      </w:pPr>
      <w:r>
        <w:rPr>
          <w:rFonts w:ascii="Calibri" w:hAnsi="Calibri" w:eastAsia="Calibri"/>
          <w:b w:val="0"/>
          <w:i w:val="0"/>
          <w:color w:val="1A1A1A"/>
          <w:sz w:val="22"/>
        </w:rPr>
        <w:t xml:space="preserve">If the $6,267 is additional, the result is approximately </w:t>
      </w:r>
      <w:r>
        <w:rPr>
          <w:rFonts w:ascii="Calibri" w:hAnsi="Calibri" w:eastAsia="Calibri"/>
          <w:b/>
          <w:i w:val="0"/>
          <w:color w:val="1A1A1A"/>
          <w:sz w:val="22"/>
        </w:rPr>
        <w:t>negative $17,226 to negative $27,226</w:t>
      </w:r>
      <w:r>
        <w:rPr>
          <w:rFonts w:ascii="Calibri" w:hAnsi="Calibri" w:eastAsia="Calibri"/>
          <w:b w:val="0"/>
          <w:i w:val="0"/>
          <w:color w:val="1A1A1A"/>
          <w:sz w:val="22"/>
        </w:rPr>
        <w:t>.</w:t>
      </w:r>
    </w:p>
    <w:p>
      <w:r>
        <w:rPr>
          <w:rFonts w:ascii="Calibri" w:hAnsi="Calibri" w:eastAsia="Calibri"/>
          <w:b w:val="0"/>
          <w:i w:val="0"/>
          <w:color w:val="1A1A1A"/>
        </w:rPr>
        <w:t>The litigation materials use slightly different figures: $22,257.08 total purchase consideration, including $100 earnest money, plus a $6,266.78 cure payment, or $28,523.86 if additive. Counsel should reconcile the purchase agreement, payoff statement, cure receipt, and Jenny's figures.</w:t>
      </w:r>
    </w:p>
    <w:p>
      <w:pPr>
        <w:pStyle w:val="Heading2"/>
      </w:pPr>
      <w:r>
        <w:t>Avoiding Double Counting</w:t>
      </w:r>
    </w:p>
    <w:p>
      <w:r>
        <w:rPr>
          <w:rFonts w:ascii="Calibri" w:hAnsi="Calibri" w:eastAsia="Calibri"/>
          <w:b w:val="0"/>
          <w:i w:val="0"/>
          <w:color w:val="1A1A1A"/>
        </w:rPr>
        <w:t>The current mortgage payoff should be deducted from sale proceeds because it is a lien. If mortgage proceeds funded legal defense, the same legal spending should not also be deducted from that sale table without a tracing adjustment.</w:t>
      </w:r>
    </w:p>
    <w:p>
      <w:r>
        <w:rPr>
          <w:rFonts w:ascii="Calibri" w:hAnsi="Calibri" w:eastAsia="Calibri"/>
          <w:b w:val="0"/>
          <w:i w:val="0"/>
          <w:color w:val="1A1A1A"/>
        </w:rPr>
        <w:t>For mediation, use three ledgers:</w:t>
      </w:r>
    </w:p>
    <w:p>
      <w:pPr>
        <w:pStyle w:val="ListNumber"/>
        <w:numPr>
          <w:ilvl w:val="0"/>
          <w:numId w:val="10"/>
        </w:numPr>
      </w:pPr>
      <w:r>
        <w:rPr>
          <w:rFonts w:ascii="Calibri" w:hAnsi="Calibri" w:eastAsia="Calibri"/>
          <w:b/>
          <w:i w:val="0"/>
          <w:color w:val="1A1A1A"/>
          <w:sz w:val="22"/>
        </w:rPr>
        <w:t>Property cash flow:</w:t>
      </w:r>
      <w:r>
        <w:rPr>
          <w:rFonts w:ascii="Calibri" w:hAnsi="Calibri" w:eastAsia="Calibri"/>
          <w:b w:val="0"/>
          <w:i w:val="0"/>
          <w:color w:val="1A1A1A"/>
          <w:sz w:val="22"/>
        </w:rPr>
        <w:t xml:space="preserve"> sale price, lien payoff, commission, rehab, and closing costs.</w:t>
      </w:r>
    </w:p>
    <w:p>
      <w:pPr>
        <w:pStyle w:val="ListNumber"/>
        <w:numPr>
          <w:ilvl w:val="0"/>
          <w:numId w:val="10"/>
        </w:numPr>
      </w:pPr>
      <w:r>
        <w:rPr>
          <w:rFonts w:ascii="Calibri" w:hAnsi="Calibri" w:eastAsia="Calibri"/>
          <w:b/>
          <w:i w:val="0"/>
          <w:color w:val="1A1A1A"/>
          <w:sz w:val="22"/>
        </w:rPr>
        <w:t>Historical property investment:</w:t>
      </w:r>
      <w:r>
        <w:rPr>
          <w:rFonts w:ascii="Calibri" w:hAnsi="Calibri" w:eastAsia="Calibri"/>
          <w:b w:val="0"/>
          <w:i w:val="0"/>
          <w:color w:val="1A1A1A"/>
          <w:sz w:val="22"/>
        </w:rPr>
        <w:t xml:space="preserve"> acquisition consideration, HELOC payoff/cure, taxes, insurance, carrying costs, and improvements.</w:t>
      </w:r>
    </w:p>
    <w:p>
      <w:pPr>
        <w:pStyle w:val="ListNumber"/>
        <w:numPr>
          <w:ilvl w:val="0"/>
          <w:numId w:val="10"/>
        </w:numPr>
      </w:pPr>
      <w:r>
        <w:rPr>
          <w:rFonts w:ascii="Calibri" w:hAnsi="Calibri" w:eastAsia="Calibri"/>
          <w:b/>
          <w:i w:val="0"/>
          <w:color w:val="1A1A1A"/>
          <w:sz w:val="22"/>
        </w:rPr>
        <w:t>Litigation expense:</w:t>
      </w:r>
      <w:r>
        <w:rPr>
          <w:rFonts w:ascii="Calibri" w:hAnsi="Calibri" w:eastAsia="Calibri"/>
          <w:b w:val="0"/>
          <w:i w:val="0"/>
          <w:color w:val="1A1A1A"/>
          <w:sz w:val="22"/>
        </w:rPr>
        <w:t xml:space="preserve"> legal fees, experts, lost time, and documented losses, adjusted to avoid counting mortgage-funded expenditures twice.</w:t>
      </w:r>
    </w:p>
    <w:p>
      <w:pPr>
        <w:pStyle w:val="Heading1"/>
      </w:pPr>
      <w:r>
        <w:t>Equity, Creditor Priority, Bankruptcy, And Collectability</w:t>
      </w:r>
    </w:p>
    <w:p>
      <w:r>
        <w:rPr>
          <w:rFonts w:ascii="Calibri" w:hAnsi="Calibri" w:eastAsia="Calibri"/>
          <w:b w:val="0"/>
          <w:i w:val="0"/>
          <w:color w:val="1A1A1A"/>
        </w:rPr>
        <w:t>The defense position is that legal expense has consumed the property's economic benefit and no settlement equity will remain after rehabilitation and sale. The current figures show only $7,308 to $17,308 of estimated sale cash before historical costs; they support that position only after the historical amounts are reconciled.</w:t>
      </w:r>
    </w:p>
    <w:p>
      <w:r>
        <w:rPr>
          <w:rFonts w:ascii="Calibri" w:hAnsi="Calibri" w:eastAsia="Calibri"/>
          <w:b w:val="0"/>
          <w:i w:val="0"/>
          <w:color w:val="1A1A1A"/>
        </w:rPr>
        <w:t>Collectability and bankruptcy are potential strategy considerations, not predetermined outcomes. A secured creditor generally looks first to its collateral, while an unsecured claimant may recover only from value remaining after valid secured claims and applicable costs.</w:t>
      </w:r>
    </w:p>
    <w:p>
      <w:pPr>
        <w:pStyle w:val="Callout"/>
        <w:shd w:fill="EAF1F6"/>
        <w:pBdr>
          <w:left w:val="single" w:sz="18" w:space="8" w:color="2E5D7B"/>
        </w:pBdr>
      </w:pPr>
      <w:r>
        <w:rPr>
          <w:rFonts w:ascii="Calibri" w:hAnsi="Calibri" w:eastAsia="Calibri"/>
          <w:b/>
          <w:color w:val="19324D"/>
          <w:sz w:val="20"/>
        </w:rPr>
        <w:t xml:space="preserve">KEY CORRECTION. </w:t>
      </w:r>
      <w:r>
        <w:rPr>
          <w:rFonts w:ascii="Calibri" w:hAnsi="Calibri" w:eastAsia="Calibri"/>
          <w:b/>
          <w:i w:val="0"/>
          <w:color w:val="1A1A1A"/>
          <w:sz w:val="20"/>
        </w:rPr>
        <w:t>(Wes &amp; Jenny noted: the Poyner documents concern 320 Rose, not 115 Rosebrooks.)</w:t>
      </w:r>
      <w:r>
        <w:rPr>
          <w:rFonts w:ascii="Calibri" w:hAnsi="Calibri" w:eastAsia="Calibri"/>
          <w:b w:val="0"/>
          <w:i w:val="0"/>
          <w:color w:val="1A1A1A"/>
          <w:sz w:val="20"/>
        </w:rPr>
        <w:t xml:space="preserve"> The source inventory contains </w:t>
      </w:r>
      <w:r>
        <w:rPr>
          <w:rFonts w:ascii="Consolas" w:hAnsi="Consolas" w:eastAsia="Consolas"/>
          <w:color w:val="4D5B68"/>
          <w:sz w:val="19"/>
        </w:rPr>
        <w:t>25-09-17 320 Rose - Deed of Trust (Poyner) Draft.docx</w:t>
      </w:r>
      <w:r>
        <w:rPr>
          <w:rFonts w:ascii="Calibri" w:hAnsi="Calibri" w:eastAsia="Calibri"/>
          <w:b w:val="0"/>
          <w:i w:val="0"/>
          <w:color w:val="1A1A1A"/>
          <w:sz w:val="20"/>
        </w:rPr>
        <w:t xml:space="preserve"> and the corresponding promissory note. Poyner should not be presented as a secured creditor against Rosebrooks unless a recorded instrument or title review establishes that fact.</w:t>
      </w:r>
    </w:p>
    <w:p>
      <w:pPr>
        <w:pStyle w:val="Heading1"/>
      </w:pPr>
      <w:r>
        <w:t>Proposed Mediation Sequence</w:t>
      </w:r>
    </w:p>
    <w:p>
      <w:pPr>
        <w:pStyle w:val="ListNumber"/>
        <w:numPr>
          <w:ilvl w:val="0"/>
          <w:numId w:val="11"/>
        </w:numPr>
      </w:pPr>
      <w:r>
        <w:rPr>
          <w:rFonts w:ascii="Calibri" w:hAnsi="Calibri" w:eastAsia="Calibri"/>
          <w:b w:val="0"/>
          <w:i w:val="0"/>
          <w:color w:val="1A1A1A"/>
          <w:sz w:val="22"/>
        </w:rPr>
        <w:t>Seek dismissal with prejudice, permanently ending the claims.</w:t>
      </w:r>
    </w:p>
    <w:p>
      <w:pPr>
        <w:pStyle w:val="ListNumber"/>
        <w:numPr>
          <w:ilvl w:val="0"/>
          <w:numId w:val="11"/>
        </w:numPr>
      </w:pPr>
      <w:r>
        <w:rPr>
          <w:rFonts w:ascii="Calibri" w:hAnsi="Calibri" w:eastAsia="Calibri"/>
          <w:b w:val="0"/>
          <w:i w:val="0"/>
          <w:color w:val="1A1A1A"/>
          <w:sz w:val="22"/>
        </w:rPr>
        <w:t>If dismissal is not achieved, address appeal risk and the cost of continued litigation.</w:t>
      </w:r>
    </w:p>
    <w:p>
      <w:pPr>
        <w:pStyle w:val="ListNumber"/>
        <w:numPr>
          <w:ilvl w:val="0"/>
          <w:numId w:val="11"/>
        </w:numPr>
      </w:pPr>
      <w:r>
        <w:rPr>
          <w:rFonts w:ascii="Calibri" w:hAnsi="Calibri" w:eastAsia="Calibri"/>
          <w:b w:val="0"/>
          <w:i w:val="0"/>
          <w:color w:val="1A1A1A"/>
          <w:sz w:val="22"/>
        </w:rPr>
        <w:t>Present the documentary chronology: foreclosure notice, independent-attorney consultation, competing proposal, Brynda's direct contact with Wes, signed documents, cure payment, and continued occupancy.</w:t>
      </w:r>
    </w:p>
    <w:p>
      <w:pPr>
        <w:pStyle w:val="ListNumber"/>
        <w:numPr>
          <w:ilvl w:val="0"/>
          <w:numId w:val="11"/>
        </w:numPr>
      </w:pPr>
      <w:r>
        <w:rPr>
          <w:rFonts w:ascii="Calibri" w:hAnsi="Calibri" w:eastAsia="Calibri"/>
          <w:b w:val="0"/>
          <w:i w:val="0"/>
          <w:color w:val="1A1A1A"/>
          <w:sz w:val="22"/>
        </w:rPr>
        <w:t>Use the foreclosure-knowledge inconsistency, GAL procedure, and admitted text impersonation precisely, with their limitations.</w:t>
      </w:r>
    </w:p>
    <w:p>
      <w:pPr>
        <w:pStyle w:val="ListNumber"/>
        <w:numPr>
          <w:ilvl w:val="0"/>
          <w:numId w:val="11"/>
        </w:numPr>
      </w:pPr>
      <w:r>
        <w:rPr>
          <w:rFonts w:ascii="Calibri" w:hAnsi="Calibri" w:eastAsia="Calibri"/>
          <w:b w:val="0"/>
          <w:i w:val="0"/>
          <w:color w:val="1A1A1A"/>
          <w:sz w:val="22"/>
        </w:rPr>
        <w:t>Present reconciled mortgage, cure, rehab, carrying-cost, and legal-expense records. Do not use "negative profit" until the HELOC figures are reconciled.</w:t>
      </w:r>
    </w:p>
    <w:p>
      <w:pPr>
        <w:pStyle w:val="ListNumber"/>
        <w:numPr>
          <w:ilvl w:val="0"/>
          <w:numId w:val="11"/>
        </w:numPr>
      </w:pPr>
      <w:r>
        <w:rPr>
          <w:rFonts w:ascii="Calibri" w:hAnsi="Calibri" w:eastAsia="Calibri"/>
          <w:b w:val="0"/>
          <w:i w:val="0"/>
          <w:color w:val="1A1A1A"/>
          <w:sz w:val="22"/>
        </w:rPr>
        <w:t>Preserve all rights to seek fees, sanctions, costs, or other relief that counsel determines the final record supports. Do not make a personal threat.</w:t>
      </w:r>
    </w:p>
    <w:p>
      <w:pPr>
        <w:pStyle w:val="ListNumber"/>
        <w:numPr>
          <w:ilvl w:val="0"/>
          <w:numId w:val="11"/>
        </w:numPr>
      </w:pPr>
      <w:r>
        <w:rPr>
          <w:rFonts w:ascii="Calibri" w:hAnsi="Calibri" w:eastAsia="Calibri"/>
          <w:b w:val="0"/>
          <w:i w:val="0"/>
          <w:color w:val="1A1A1A"/>
          <w:sz w:val="22"/>
        </w:rPr>
        <w:t>Explain that a pre-mediation agreement could reach the intended conclusion with less time and expense. Terms should address dismissal/release, payment or no further payment, confidentiality, possession and keys, personal property, and fees/costs.</w:t>
      </w:r>
    </w:p>
    <w:p>
      <w:pPr>
        <w:pStyle w:val="ListNumber"/>
        <w:numPr>
          <w:ilvl w:val="0"/>
          <w:numId w:val="11"/>
        </w:numPr>
      </w:pPr>
      <w:r>
        <w:rPr>
          <w:rFonts w:ascii="Calibri" w:hAnsi="Calibri" w:eastAsia="Calibri"/>
          <w:b w:val="0"/>
          <w:i w:val="0"/>
          <w:color w:val="1A1A1A"/>
          <w:sz w:val="22"/>
        </w:rPr>
        <w:t>Value any lease-buyout alternative separately. The May 21, 2025 response establishes a proposal to discuss a buyout, not its monetary value.</w:t>
      </w:r>
    </w:p>
    <w:p>
      <w:pPr>
        <w:pStyle w:val="Heading1"/>
      </w:pPr>
      <w:r>
        <w:t>Attorney Questions</w:t>
      </w:r>
    </w:p>
    <w:p>
      <w:pPr>
        <w:pStyle w:val="ListNumber"/>
        <w:numPr>
          <w:ilvl w:val="0"/>
          <w:numId w:val="12"/>
        </w:numPr>
      </w:pPr>
      <w:r>
        <w:rPr>
          <w:rFonts w:ascii="Calibri" w:hAnsi="Calibri" w:eastAsia="Calibri"/>
          <w:b w:val="0"/>
          <w:i w:val="0"/>
          <w:color w:val="1A1A1A"/>
          <w:sz w:val="22"/>
        </w:rPr>
        <w:t>What is the exact scope and remedy of the surviving claim under the entered order?</w:t>
      </w:r>
    </w:p>
    <w:p>
      <w:pPr>
        <w:pStyle w:val="ListNumber"/>
        <w:numPr>
          <w:ilvl w:val="0"/>
          <w:numId w:val="12"/>
        </w:numPr>
      </w:pPr>
      <w:r>
        <w:rPr>
          <w:rFonts w:ascii="Calibri" w:hAnsi="Calibri" w:eastAsia="Calibri"/>
          <w:b w:val="0"/>
          <w:i w:val="0"/>
          <w:color w:val="1A1A1A"/>
          <w:sz w:val="22"/>
        </w:rPr>
        <w:t>Is rescission or return of title still available after Brynda's death, and who has standing?</w:t>
      </w:r>
    </w:p>
    <w:p>
      <w:pPr>
        <w:pStyle w:val="ListNumber"/>
        <w:numPr>
          <w:ilvl w:val="0"/>
          <w:numId w:val="12"/>
        </w:numPr>
      </w:pPr>
      <w:r>
        <w:rPr>
          <w:rFonts w:ascii="Calibri" w:hAnsi="Calibri" w:eastAsia="Calibri"/>
          <w:b w:val="0"/>
          <w:i w:val="0"/>
          <w:color w:val="1A1A1A"/>
          <w:sz w:val="22"/>
        </w:rPr>
        <w:t>What evidence and jury instruction will control undue influence?</w:t>
      </w:r>
    </w:p>
    <w:p>
      <w:pPr>
        <w:pStyle w:val="ListNumber"/>
        <w:numPr>
          <w:ilvl w:val="0"/>
          <w:numId w:val="12"/>
        </w:numPr>
      </w:pPr>
      <w:r>
        <w:rPr>
          <w:rFonts w:ascii="Calibri" w:hAnsi="Calibri" w:eastAsia="Calibri"/>
          <w:b w:val="0"/>
          <w:i w:val="0"/>
          <w:color w:val="1A1A1A"/>
          <w:sz w:val="22"/>
        </w:rPr>
        <w:t>How should the September 25 Huston contact be presented without overstating what Natalie was told?</w:t>
      </w:r>
    </w:p>
    <w:p>
      <w:pPr>
        <w:pStyle w:val="ListNumber"/>
        <w:numPr>
          <w:ilvl w:val="0"/>
          <w:numId w:val="12"/>
        </w:numPr>
      </w:pPr>
      <w:r>
        <w:rPr>
          <w:rFonts w:ascii="Calibri" w:hAnsi="Calibri" w:eastAsia="Calibri"/>
          <w:b w:val="0"/>
          <w:i w:val="0"/>
          <w:color w:val="1A1A1A"/>
          <w:sz w:val="22"/>
        </w:rPr>
        <w:t>Which fees, sanctions, or claims can legally be preserved, and at what procedural stage?</w:t>
      </w:r>
    </w:p>
    <w:p>
      <w:pPr>
        <w:pStyle w:val="ListNumber"/>
        <w:numPr>
          <w:ilvl w:val="0"/>
          <w:numId w:val="12"/>
        </w:numPr>
      </w:pPr>
      <w:r>
        <w:rPr>
          <w:rFonts w:ascii="Calibri" w:hAnsi="Calibri" w:eastAsia="Calibri"/>
          <w:b w:val="0"/>
          <w:i w:val="0"/>
          <w:color w:val="1A1A1A"/>
          <w:sz w:val="22"/>
        </w:rPr>
        <w:t>What documents are needed to prove damages without double counting mortgage-funded legal expenses?</w:t>
      </w:r>
    </w:p>
    <w:p>
      <w:pPr>
        <w:pStyle w:val="ListNumber"/>
        <w:numPr>
          <w:ilvl w:val="0"/>
          <w:numId w:val="12"/>
        </w:numPr>
      </w:pPr>
      <w:r>
        <w:rPr>
          <w:rFonts w:ascii="Calibri" w:hAnsi="Calibri" w:eastAsia="Calibri"/>
          <w:b w:val="0"/>
          <w:i w:val="0"/>
          <w:color w:val="1A1A1A"/>
          <w:sz w:val="22"/>
        </w:rPr>
        <w:t>What is the defensible present value of the lease?</w:t>
      </w:r>
    </w:p>
    <w:p>
      <w:pPr>
        <w:pStyle w:val="ListNumber"/>
        <w:numPr>
          <w:ilvl w:val="0"/>
          <w:numId w:val="12"/>
        </w:numPr>
      </w:pPr>
      <w:r>
        <w:rPr>
          <w:rFonts w:ascii="Calibri" w:hAnsi="Calibri" w:eastAsia="Calibri"/>
          <w:b w:val="0"/>
          <w:i w:val="0"/>
          <w:color w:val="1A1A1A"/>
          <w:sz w:val="22"/>
        </w:rPr>
        <w:t>What settlement terms are needed for keys, possession, remaining property, release, dismissal, confidentiality, and no further payment?</w:t>
      </w:r>
    </w:p>
    <w:p>
      <w:pPr>
        <w:pStyle w:val="ListNumber"/>
        <w:numPr>
          <w:ilvl w:val="0"/>
          <w:numId w:val="12"/>
        </w:numPr>
      </w:pPr>
      <w:r>
        <w:rPr>
          <w:rFonts w:ascii="Calibri" w:hAnsi="Calibri" w:eastAsia="Calibri"/>
          <w:b w:val="0"/>
          <w:i w:val="0"/>
          <w:color w:val="1A1A1A"/>
          <w:sz w:val="22"/>
        </w:rPr>
        <w:t>What would trial likely cost from mediation through verdict, including experts and post-trial motions?</w:t>
      </w:r>
    </w:p>
    <w:p>
      <w:pPr>
        <w:pStyle w:val="ListNumber"/>
        <w:numPr>
          <w:ilvl w:val="0"/>
          <w:numId w:val="12"/>
        </w:numPr>
      </w:pPr>
      <w:r>
        <w:rPr>
          <w:rFonts w:ascii="Calibri" w:hAnsi="Calibri" w:eastAsia="Calibri"/>
          <w:b w:val="0"/>
          <w:i w:val="0"/>
          <w:color w:val="1A1A1A"/>
          <w:sz w:val="22"/>
        </w:rPr>
        <w:t>Does the May 21, 2025 lease-buyout response remain usable, and where is the April 9 email?</w:t>
      </w:r>
    </w:p>
    <w:p>
      <w:pPr>
        <w:pStyle w:val="Heading1"/>
      </w:pPr>
      <w:r>
        <w:t>Open Verification Items</w:t>
      </w:r>
    </w:p>
    <w:p>
      <w:pPr>
        <w:pStyle w:val="ListBullet"/>
      </w:pPr>
      <w:r>
        <w:rPr>
          <w:rFonts w:ascii="Calibri" w:hAnsi="Calibri" w:eastAsia="Calibri"/>
          <w:b w:val="0"/>
          <w:i w:val="0"/>
          <w:color w:val="1A1A1A"/>
          <w:sz w:val="22"/>
        </w:rPr>
        <w:t>Signed and entered summary-judgment order and docket entry.</w:t>
      </w:r>
    </w:p>
    <w:p>
      <w:pPr>
        <w:pStyle w:val="ListBullet"/>
      </w:pPr>
      <w:r>
        <w:rPr>
          <w:rFonts w:ascii="Calibri" w:hAnsi="Calibri" w:eastAsia="Calibri"/>
          <w:b w:val="0"/>
          <w:i w:val="0"/>
          <w:color w:val="1A1A1A"/>
          <w:sz w:val="22"/>
        </w:rPr>
        <w:t>Refinance note, deed of trust, closing disclosure, and exact refinance date.</w:t>
      </w:r>
    </w:p>
    <w:p>
      <w:pPr>
        <w:pStyle w:val="ListBullet"/>
      </w:pPr>
      <w:r>
        <w:rPr>
          <w:rFonts w:ascii="Calibri" w:hAnsi="Calibri" w:eastAsia="Calibri"/>
          <w:b w:val="0"/>
          <w:i w:val="0"/>
          <w:color w:val="1A1A1A"/>
          <w:sz w:val="22"/>
        </w:rPr>
        <w:t>Current mortgage statement confirming the $178,692 July 3, 2026 figure.</w:t>
      </w:r>
    </w:p>
    <w:p>
      <w:pPr>
        <w:pStyle w:val="ListBullet"/>
      </w:pPr>
      <w:r>
        <w:rPr>
          <w:rFonts w:ascii="Calibri" w:hAnsi="Calibri" w:eastAsia="Calibri"/>
          <w:b w:val="0"/>
          <w:i w:val="0"/>
          <w:color w:val="1A1A1A"/>
          <w:sz w:val="22"/>
        </w:rPr>
        <w:t>HELOC payoff and cure records resolving whether $6,267 is included in $28,267.</w:t>
      </w:r>
    </w:p>
    <w:p>
      <w:pPr>
        <w:pStyle w:val="ListBullet"/>
      </w:pPr>
      <w:r>
        <w:rPr>
          <w:rFonts w:ascii="Calibri" w:hAnsi="Calibri" w:eastAsia="Calibri"/>
          <w:b w:val="0"/>
          <w:i w:val="0"/>
          <w:color w:val="1A1A1A"/>
          <w:sz w:val="22"/>
        </w:rPr>
        <w:t>Support for the $250,000 sale price, $40,000-$50,000 rehab range, commission, and closing costs.</w:t>
      </w:r>
    </w:p>
    <w:p>
      <w:pPr>
        <w:pStyle w:val="ListBullet"/>
      </w:pPr>
      <w:r>
        <w:rPr>
          <w:rFonts w:ascii="Calibri" w:hAnsi="Calibri" w:eastAsia="Calibri"/>
          <w:b w:val="0"/>
          <w:i w:val="0"/>
          <w:color w:val="1A1A1A"/>
          <w:sz w:val="22"/>
        </w:rPr>
        <w:t>April 9, 2025 offer email and any attachment.</w:t>
      </w:r>
    </w:p>
    <w:p>
      <w:pPr>
        <w:pStyle w:val="ListBullet"/>
      </w:pPr>
      <w:r>
        <w:rPr>
          <w:rFonts w:ascii="Calibri" w:hAnsi="Calibri" w:eastAsia="Calibri"/>
          <w:b w:val="0"/>
          <w:i w:val="0"/>
          <w:color w:val="1A1A1A"/>
          <w:sz w:val="22"/>
        </w:rPr>
        <w:t>Operative lease and professional lease-buyout valuation.</w:t>
      </w:r>
    </w:p>
    <w:p>
      <w:pPr>
        <w:pStyle w:val="ListBullet"/>
      </w:pPr>
      <w:r>
        <w:rPr>
          <w:rFonts w:ascii="Calibri" w:hAnsi="Calibri" w:eastAsia="Calibri"/>
          <w:b w:val="0"/>
          <w:i w:val="0"/>
          <w:color w:val="1A1A1A"/>
          <w:sz w:val="22"/>
        </w:rPr>
        <w:t>Deed execution, notarization, and recording page resolving November 28 versus November 30.</w:t>
      </w:r>
    </w:p>
    <w:p>
      <w:pPr>
        <w:pStyle w:val="ListBullet"/>
      </w:pPr>
      <w:r>
        <w:rPr>
          <w:rFonts w:ascii="Calibri" w:hAnsi="Calibri" w:eastAsia="Calibri"/>
          <w:b w:val="0"/>
          <w:i w:val="0"/>
          <w:color w:val="1A1A1A"/>
          <w:sz w:val="22"/>
        </w:rPr>
        <w:t>Title search confirming all Rosebrooks liens and separating the Poyner/Rose documents.</w:t>
      </w:r>
    </w:p>
    <w:p>
      <w:pPr>
        <w:pStyle w:val="ListBullet"/>
      </w:pPr>
      <w:r>
        <w:t>Journal pages supporting the broad 2023 knowledge, sale, rent, and landlord entries described by Wes.</w:t>
      </w:r>
    </w:p>
    <w:p>
      <w:pPr>
        <w:pStyle w:val="Heading1"/>
      </w:pPr>
      <w:r>
        <w:t>Principal Sources</w:t>
      </w:r>
    </w:p>
    <w:p>
      <w:pPr>
        <w:pStyle w:val="ListBullet"/>
        <w:spacing w:after="60" w:line="240" w:lineRule="auto"/>
      </w:pPr>
      <w:r>
        <w:rPr>
          <w:rFonts w:ascii="Consolas" w:hAnsi="Consolas" w:eastAsia="Consolas"/>
          <w:color w:val="4D5B68"/>
          <w:sz w:val="17"/>
        </w:rPr>
        <w:t>sources/email/2026-07-29-122119-brynda-suit-timeline-financials.md</w:t>
      </w:r>
    </w:p>
    <w:p>
      <w:pPr>
        <w:pStyle w:val="ListBullet"/>
        <w:spacing w:after="60" w:line="240" w:lineRule="auto"/>
      </w:pPr>
      <w:r>
        <w:rPr>
          <w:rFonts w:ascii="Consolas" w:hAnsi="Consolas" w:eastAsia="Consolas"/>
          <w:color w:val="4D5B68"/>
          <w:sz w:val="17"/>
        </w:rPr>
        <w:t>sources/email/2026-07-29-123649-brynda-suit-mediation-compilation-update.md</w:t>
      </w:r>
    </w:p>
    <w:p>
      <w:pPr>
        <w:pStyle w:val="ListBullet"/>
        <w:spacing w:after="60" w:line="240" w:lineRule="auto"/>
      </w:pPr>
      <w:r>
        <w:rPr>
          <w:rFonts w:ascii="Consolas" w:hAnsi="Consolas" w:eastAsia="Consolas"/>
          <w:color w:val="4D5B68"/>
          <w:sz w:val="17"/>
        </w:rPr>
        <w:t>outputs/mediation-evidence-and-remedies-analysis-2026-07-27.md</w:t>
      </w:r>
    </w:p>
    <w:p>
      <w:pPr>
        <w:pStyle w:val="ListBullet"/>
        <w:spacing w:after="60" w:line="240" w:lineRule="auto"/>
      </w:pPr>
      <w:r>
        <w:rPr>
          <w:rFonts w:ascii="Consolas" w:hAnsi="Consolas" w:eastAsia="Consolas"/>
          <w:color w:val="4D5B68"/>
          <w:sz w:val="17"/>
        </w:rPr>
        <w:t>26-02-10 - Huston Depo Transcript COND_VOL. II.pdf</w:t>
      </w:r>
    </w:p>
    <w:p>
      <w:pPr>
        <w:pStyle w:val="ListBullet"/>
        <w:spacing w:after="60" w:line="240" w:lineRule="auto"/>
      </w:pPr>
      <w:r>
        <w:rPr>
          <w:rFonts w:ascii="Consolas" w:hAnsi="Consolas" w:eastAsia="Consolas"/>
          <w:color w:val="4D5B68"/>
          <w:sz w:val="17"/>
        </w:rPr>
        <w:t>25-09-12 EMail from Huston to Beth Donner Exhibit 15 Huston, Kevin Job# 303627.pdf</w:t>
      </w:r>
    </w:p>
    <w:p>
      <w:pPr>
        <w:pStyle w:val="ListBullet"/>
        <w:spacing w:after="60" w:line="240" w:lineRule="auto"/>
      </w:pPr>
      <w:r>
        <w:rPr>
          <w:rFonts w:ascii="Consolas" w:hAnsi="Consolas" w:eastAsia="Consolas"/>
          <w:color w:val="4D5B68"/>
          <w:sz w:val="17"/>
        </w:rPr>
        <w:t>25-06-10 DOHERTY, NATALIE - deposition.pdf</w:t>
      </w:r>
    </w:p>
    <w:p>
      <w:pPr>
        <w:pStyle w:val="ListBullet"/>
        <w:spacing w:after="60" w:line="240" w:lineRule="auto"/>
      </w:pPr>
      <w:r>
        <w:rPr>
          <w:rFonts w:ascii="Calibri" w:hAnsi="Calibri" w:eastAsia="Calibri"/>
          <w:b w:val="0"/>
          <w:i w:val="0"/>
          <w:color w:val="4D5B68"/>
          <w:sz w:val="18"/>
        </w:rPr>
        <w:t>Plaintiff's and defendants' summary-judgment briefs</w:t>
      </w:r>
    </w:p>
    <w:p>
      <w:pPr>
        <w:pStyle w:val="ListBullet"/>
        <w:spacing w:after="60" w:line="240" w:lineRule="auto"/>
      </w:pPr>
      <w:r>
        <w:rPr>
          <w:rFonts w:ascii="Calibri" w:hAnsi="Calibri" w:eastAsia="Calibri"/>
          <w:b w:val="0"/>
          <w:i w:val="0"/>
          <w:color w:val="4D5B68"/>
          <w:sz w:val="18"/>
        </w:rPr>
        <w:t>Browning affidavit</w:t>
      </w:r>
    </w:p>
    <w:p>
      <w:pPr>
        <w:pStyle w:val="ListBullet"/>
        <w:spacing w:after="60" w:line="240" w:lineRule="auto"/>
      </w:pPr>
      <w:r>
        <w:rPr>
          <w:rFonts w:ascii="Calibri" w:hAnsi="Calibri" w:eastAsia="Calibri"/>
          <w:b w:val="0"/>
          <w:i w:val="0"/>
          <w:color w:val="4D5B68"/>
          <w:sz w:val="18"/>
        </w:rPr>
        <w:t>Foreclosure notice, order, and withdrawal documents</w:t>
      </w:r>
    </w:p>
    <w:p>
      <w:pPr>
        <w:pStyle w:val="ListBullet"/>
        <w:spacing w:after="60" w:line="240" w:lineRule="auto"/>
      </w:pPr>
      <w:r>
        <w:rPr>
          <w:rFonts w:ascii="Calibri" w:hAnsi="Calibri" w:eastAsia="Calibri"/>
          <w:b w:val="0"/>
          <w:i w:val="0"/>
          <w:color w:val="4D5B68"/>
          <w:sz w:val="18"/>
        </w:rPr>
        <w:t>Summons, complaint-receipt, and service-affidavit records</w:t>
      </w:r>
    </w:p>
    <w:p>
      <w:pPr>
        <w:pStyle w:val="ListBullet"/>
        <w:spacing w:after="60" w:line="240" w:lineRule="auto"/>
      </w:pPr>
      <w:r>
        <w:rPr>
          <w:rFonts w:ascii="Consolas" w:hAnsi="Consolas" w:eastAsia="Consolas"/>
          <w:color w:val="4D5B68"/>
          <w:sz w:val="17"/>
        </w:rPr>
        <w:t>25-05-21 Offer to settle.docx</w:t>
      </w:r>
    </w:p>
    <w:p>
      <w:pPr>
        <w:pStyle w:val="ListBullet"/>
        <w:spacing w:after="60" w:line="240" w:lineRule="auto"/>
      </w:pPr>
      <w:r>
        <w:rPr>
          <w:rFonts w:ascii="Calibri" w:hAnsi="Calibri" w:eastAsia="Calibri"/>
          <w:b w:val="0"/>
          <w:i w:val="0"/>
          <w:color w:val="4D5B68"/>
          <w:sz w:val="18"/>
        </w:rPr>
        <w:t>Motion to Vacate GAL Appointment and related procedural orders</w:t>
      </w:r>
    </w:p>
    <w:p>
      <w:pPr>
        <w:pStyle w:val="ListBullet"/>
      </w:pPr>
      <w:r>
        <w:t>25-09-12 BGriffith Will Exhibit 13 Huston, Kevin Job# 303627.pdf</w:t>
      </w:r>
    </w:p>
    <w:p>
      <w:pPr>
        <w:pStyle w:val="ListBullet"/>
      </w:pPr>
      <w:r>
        <w:t>Wes's August 10, 2026 instruction email concerning journal and guardian-ad-litem additions.</w:t>
      </w:r>
    </w:p>
    <w:sectPr w:rsidR="00FC693F" w:rsidRPr="0006063C" w:rsidSect="00034616">
      <w:headerReference w:type="default" r:id="rId9"/>
      <w:footerReference w:type="default" r:id="rId10"/>
      <w:headerReference w:type="even" r:id="rId12"/>
      <w:headerReference w:type="first" r:id="rId13"/>
      <w:footerReference w:type="even" r:id="rId14"/>
      <w:footerReference w:type="first" r:id="rId15"/>
      <w:pgSz w:w="12240" w:h="15840"/>
      <w:pgMar w:top="1080" w:right="1440" w:bottom="1368" w:left="1440"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after="0"/>
      <w:jc w:val="center"/>
    </w:pPr>
    <w:r>
      <w:rPr>
        <w:rFonts w:ascii="Aptos" w:hAnsi="Aptos"/>
        <w:color w:val="4C5B69"/>
        <w:sz w:val="16"/>
      </w:rPr>
      <w:t xml:space="preserve">CONFIDENTIAL MEDIATION PREPARATION  |  2026-08-10  |  Version 1.1  |  Page </w:t>
    </w:r>
    <w:r>
      <w:rPr>
        <w:rFonts w:ascii="Aptos" w:hAnsi="Aptos"/>
        <w:color w:val="4C5B69"/>
        <w:sz w:val="16"/>
      </w:rPr>
    </w:r>
    <w:fldSimple w:instr="PAGE">
      <w:r>
        <w:rPr>
          <w:rFonts w:ascii="Aptos" w:hAnsi="Aptos"/>
          <w:sz w:val="16"/>
          <w:color w:val="4C5B69"/>
        </w:rPr>
        <w:t>1</w:t>
      </w:r>
    </w:fldSimple>
    <w:r>
      <w:rPr>
        <w:rFonts w:ascii="Aptos" w:hAnsi="Aptos"/>
        <w:color w:val="4C5B69"/>
        <w:sz w:val="16"/>
      </w:rPr>
      <w:t xml:space="preserve"> of </w:t>
    </w:r>
    <w:r>
      <w:rPr>
        <w:rFonts w:ascii="Aptos" w:hAnsi="Aptos"/>
        <w:color w:val="4C5B69"/>
        <w:sz w:val="16"/>
      </w:rPr>
    </w:r>
    <w:fldSimple w:instr="NUMPAGES">
      <w:r>
        <w:rPr>
          <w:rFonts w:ascii="Aptos" w:hAnsi="Aptos"/>
          <w:sz w:val="16"/>
          <w:color w:val="4C5B69"/>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ptos" w:hAnsi="Aptos"/>
        <w:color w:val="4C5B69"/>
        <w:sz w:val="16"/>
      </w:rPr>
      <w:t xml:space="preserve">CONFIDENTIAL MEDIATION PREPARATION  |  2026-08-10  |  Version 1.1  |  Page </w:t>
    </w:r>
    <w:r>
      <w:rPr>
        <w:rFonts w:ascii="Aptos" w:hAnsi="Aptos"/>
        <w:color w:val="4C5B69"/>
        <w:sz w:val="16"/>
      </w:rPr>
    </w:r>
    <w:fldSimple w:instr="PAGE">
      <w:r>
        <w:rPr>
          <w:rFonts w:ascii="Aptos" w:hAnsi="Aptos"/>
          <w:sz w:val="16"/>
          <w:color w:val="4C5B69"/>
        </w:rPr>
        <w:t>1</w:t>
      </w:r>
    </w:fldSimple>
    <w:r>
      <w:rPr>
        <w:rFonts w:ascii="Aptos" w:hAnsi="Aptos"/>
        <w:color w:val="4C5B69"/>
        <w:sz w:val="16"/>
      </w:rPr>
      <w:t xml:space="preserve"> of </w:t>
    </w:r>
    <w:r>
      <w:rPr>
        <w:rFonts w:ascii="Aptos" w:hAnsi="Aptos"/>
        <w:color w:val="4C5B69"/>
        <w:sz w:val="16"/>
      </w:rPr>
    </w:r>
    <w:fldSimple w:instr="NUMPAGES">
      <w:r>
        <w:rPr>
          <w:rFonts w:ascii="Aptos" w:hAnsi="Aptos"/>
          <w:sz w:val="16"/>
          <w:color w:val="4C5B69"/>
        </w:rP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ptos" w:hAnsi="Aptos"/>
        <w:color w:val="4C5B69"/>
        <w:sz w:val="16"/>
      </w:rPr>
      <w:t xml:space="preserve">CONFIDENTIAL MEDIATION PREPARATION  |  2026-08-10  |  Version 1.1  |  Page </w:t>
    </w:r>
    <w:r>
      <w:rPr>
        <w:rFonts w:ascii="Aptos" w:hAnsi="Aptos"/>
        <w:color w:val="4C5B69"/>
        <w:sz w:val="16"/>
      </w:rPr>
    </w:r>
    <w:fldSimple w:instr="PAGE">
      <w:r>
        <w:rPr>
          <w:rFonts w:ascii="Aptos" w:hAnsi="Aptos"/>
          <w:sz w:val="16"/>
          <w:color w:val="4C5B69"/>
        </w:rPr>
        <w:t>1</w:t>
      </w:r>
    </w:fldSimple>
    <w:r>
      <w:rPr>
        <w:rFonts w:ascii="Aptos" w:hAnsi="Aptos"/>
        <w:color w:val="4C5B69"/>
        <w:sz w:val="16"/>
      </w:rPr>
      <w:t xml:space="preserve"> of </w:t>
    </w:r>
    <w:r>
      <w:rPr>
        <w:rFonts w:ascii="Aptos" w:hAnsi="Aptos"/>
        <w:color w:val="4C5B69"/>
        <w:sz w:val="16"/>
      </w:rPr>
    </w:r>
    <w:fldSimple w:instr="NUMPAGES">
      <w:r>
        <w:rPr>
          <w:rFonts w:ascii="Aptos" w:hAnsi="Aptos"/>
          <w:sz w:val="16"/>
          <w:color w:val="4C5B69"/>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jc w:val="center"/>
      <w:pBdr>
        <w:bottom w:val="single" w:sz="4" w:space="3" w:color="AAB4BE"/>
      </w:pBdr>
      <w:pBdr>
        <w:bottom w:val="single" w:sz="4" w:space="5" w:color="AAB4BE"/>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center"/>
      <w:pBdr>
        <w:bottom w:val="single" w:sz="4" w:space="5" w:color="AAB4BE"/>
      </w:pBd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center"/>
      <w:pBdr>
        <w:bottom w:val="single" w:sz="4" w:space="5" w:color="AAB4B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tabs>
          <w:tab w:val="num" w:pos="720"/>
        </w:tabs>
        <w:ind w:left="720" w:hanging="360"/>
      </w:pPr>
    </w:lvl>
  </w:abstractNum>
  <w:num w:numId="10">
    <w:abstractNumId w:val="9"/>
  </w:num>
  <w:abstractNum w:abstractNumId="10">
    <w:multiLevelType w:val="singleLevel"/>
    <w:lvl w:ilvl="0">
      <w:start w:val="1"/>
      <w:numFmt w:val="decimal"/>
      <w:lvlText w:val="%1."/>
      <w:suff w:val="space"/>
      <w:pPr>
        <w:tabs>
          <w:tab w:val="num" w:pos="720"/>
        </w:tabs>
        <w:ind w:left="720" w:hanging="360"/>
      </w:pPr>
    </w:lvl>
  </w:abstractNum>
  <w:num w:numId="11">
    <w:abstractNumId w:val="10"/>
  </w:num>
  <w:abstractNum w:abstractNumId="11">
    <w:multiLevelType w:val="singleLevel"/>
    <w:lvl w:ilvl="0">
      <w:start w:val="1"/>
      <w:numFmt w:val="decimal"/>
      <w:lvlText w:val="%1."/>
      <w:suff w:val="space"/>
      <w:pPr>
        <w:tabs>
          <w:tab w:val="num" w:pos="720"/>
        </w:tabs>
        <w:ind w:left="72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9324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5D7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9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keepLines/>
      <w:spacing w:before="120" w:after="160" w:line="259" w:lineRule="auto"/>
      <w:ind w:left="173" w:right="115"/>
    </w:pPr>
    <w:rPr>
      <w:rFonts w:ascii="Calibri" w:hAnsi="Calibri"/>
      <w:sz w:val="20"/>
    </w:rPr>
  </w:style>
  <w:style w:type="paragraph" w:customStyle="1" w:styleId="SourceList">
    <w:name w:val="Source List"/>
    <w:pPr>
      <w:spacing w:after="60" w:line="240" w:lineRule="auto"/>
      <w:ind w:left="403" w:hanging="259"/>
    </w:pPr>
    <w:rPr>
      <w:rFonts w:ascii="Calibri" w:hAnsi="Calibri"/>
      <w:color w:val="4D5B6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cleg.gov/EnactedLegislation/Statutes/HTML/ByChapter/Chapter_75.html" TargetMode="Externa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 Mediation Timeline, Financials, and Proposed Sequence</dc:title>
  <dc:subject>Attorney review and confidential mediation preparation</dc:subject>
  <dc:creator>Buy Your Home</dc:creator>
  <cp:keywords>confidential, mediation, attorney review, Griffith v. Browning</cp:keywords>
  <dc:description/>
  <cp:lastModifiedBy>Buy Your Home</cp:lastModifiedBy>
  <cp:revision>1</cp:revision>
  <dcterms:created xsi:type="dcterms:W3CDTF">2013-12-23T23:15:00Z</dcterms:created>
  <dcterms:modified xsi:type="dcterms:W3CDTF">2013-12-23T23:15:00Z</dcterms:modified>
  <cp:category/>
</cp:coreProperties>
</file>