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14, 2026</w:t>
      </w:r>
    </w:p>
    <w:p>
      <w:pPr>
        <w:spacing w:after="40"/>
        <w:ind w:left="115"/>
      </w:pPr>
      <w:r>
        <w:t>Version:  1.7</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pPr/>
      <w:r>
        <w:t>Jenny's figures combine a $28,267 historical HELOC payoff and a $6,267 cure cost into one $34,534 deduction. After that deduction, the estimated sale result is negative $17,226 in the low-rehab scenario and negative $27,226 in the high-rehab scenario, before separate litigation expenses and any additional historical costs.</w:t>
      </w:r>
    </w:p>
    <w:p>
      <w:r>
        <w:br w:type="page"/>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r>
              <w:t>Brynda's journals left in the house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r>
              <w:t>Brynda's journals left in the house.</w:t>
            </w:r>
          </w:p>
        </w:tc>
        <w:tc>
          <w:tcPr>
            <w:tcW w:type="dxa" w:w="1300"/>
            <w:tcMar>
              <w:top w:w="100" w:type="dxa"/>
              <w:start w:w="120" w:type="dxa"/>
              <w:bottom w:w="100" w:type="dxa"/>
              <w:end w:w="120" w:type="dxa"/>
            </w:tcMar>
            <w:vAlign w:val="center"/>
          </w:tcPr>
          <w:p>
            <w:pPr/>
            <w:r>
              <w:t>Direct journal evidence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r>
              <w:t>Huston's testimony and related evidence describe Wilson's offer as approximately $140,000.</w:t>
            </w:r>
          </w:p>
        </w:tc>
        <w:tc>
          <w:tcPr>
            <w:tcW w:type="dxa" w:w="1300"/>
            <w:tcMar>
              <w:top w:w="100" w:type="dxa"/>
              <w:start w:w="120" w:type="dxa"/>
              <w:bottom w:w="100" w:type="dxa"/>
              <w:end w:w="120" w:type="dxa"/>
            </w:tcMar>
            <w:vAlign w:val="center"/>
            <w:shd w:fill="F7F9FA"/>
          </w:tcPr>
          <w:p>
            <w:pPr/>
            <w: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pPr/>
      <w: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supports deliberation about both sale and continued possession. Brynda's journals also show that after signing the documents with Wes, she continued communicating with named investors and remained actively engaged in conversations with prospective buyers.</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pPr/>
      <w:r>
        <w:t>The defense raised potential Rule 11 concerns because claims allegedly relied on a power of attorney viewed as irrelevant to the sale. In plain terms, the concern is that the factual or legal basis for relying on that document may have been insufficient.</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pPr/>
      <w: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Four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b/>
        </w:rPr>
        <w:t xml:space="preserve">RECOMMENDED WORDING. </w:t>
      </w:r>
      <w:r>
        <w:t>Natalie's account is difficult to reconcile with Huston's contemporaneous record and testimony.</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b/>
        </w:rPr>
        <w:t xml:space="preserve">RECOMMENDED WORDING. </w:t>
      </w:r>
      <w:r>
        <w:t>The disinterested-status assertion is difficult to reconcile with the will's direct benefit to Natalie, her nomination as personal representative, and her participation in bringing Brynda to Huston's office. This creates a legitimate credibility and process issue.</w:t>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pPr>
        <w:pStyle w:val="Heading2"/>
      </w:pPr>
      <w:r>
        <w:t>4. Brynda's Position Versus Natalie's Litigation Position</w:t>
      </w:r>
    </w:p>
    <w:p>
      <w:pPr/>
      <w:r>
        <w:t>Brynda's deposition testimony indicates that she did not understand the lawsuit or the coercion allegation. That testimony conflicts with presenting the litigation as a clear expression of Brynda's own informed position.</w:t>
      </w:r>
    </w:p>
    <w:p>
      <w:pPr>
        <w:pStyle w:val="Callout"/>
      </w:pPr>
      <w:r>
        <w:t>RECOMMENDED WORDING. Brynda's own testimony creates a material discrepancy between her understanding of the case and the litigation position advanced in her name.</w:t>
      </w:r>
    </w:p>
    <w:p>
      <w:pPr>
        <w:pStyle w:val="Heading2"/>
      </w:pPr>
      <w:r>
        <w:t>Supporting Discrepancies</w:t>
      </w:r>
    </w:p>
    <w:p>
      <w:pPr>
        <w:pStyle w:val="ListBullet"/>
      </w:pPr>
      <w:r>
        <w:t>Natalie verified a complaint-related GAL petition despite lacking firsthand knowledge of the transaction.</w:t>
      </w:r>
    </w:p>
    <w:p>
      <w:pPr>
        <w:pStyle w:val="ListBullet"/>
      </w:pPr>
      <w:r>
        <w:t>Natalie could not identify a factual basis for the allegation of harsh language.</w:t>
      </w:r>
    </w:p>
    <w:p>
      <w:pPr>
        <w:pStyle w:val="ListBullet"/>
      </w:pPr>
      <w:r>
        <w:t>Natalie used 'coerced' to mean 'misled' and could not identify when the alleged conduct occurred.</w:t>
      </w:r>
    </w:p>
    <w:p>
      <w:pPr>
        <w:pStyle w:val="ListBullet"/>
      </w:pPr>
      <w:r>
        <w:t>Natalie had no written loan representation, had not investigated ordinary loan terms, and had not reviewed important lease provisions before advancing loan-related allegations.</w:t>
      </w:r>
    </w:p>
    <w:p>
      <w:pPr>
        <w:pStyle w:val="ListBullet"/>
      </w:pPr>
      <w:r>
        <w:t>The GAL appointment was obtained without an identified incompetency hearing or finding and was later vacated.</w:t>
      </w:r>
    </w:p>
    <w:p>
      <w:r>
        <w:br w:type="page"/>
      </w:r>
    </w:p>
    <w:p>
      <w:pPr>
        <w:pStyle w:val="Heading1"/>
      </w:pPr>
      <w:r>
        <w:t>Financial Presentation</w:t>
      </w:r>
    </w:p>
    <w:p>
      <w:pPr>
        <w:pStyle w:val="Heading2"/>
      </w:pPr>
      <w:r>
        <w:t>Estimated Sale Cash Flow Including HELOC And Cure Costs</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t>Less historical HELOC payoff and cure costs</w:t>
            </w:r>
          </w:p>
        </w:tc>
        <w:tc>
          <w:tcPr>
            <w:tcW w:type="dxa" w:w="2430"/>
            <w:tcMar>
              <w:top w:w="100" w:type="dxa"/>
              <w:start w:w="120" w:type="dxa"/>
              <w:bottom w:w="100" w:type="dxa"/>
              <w:end w:w="120" w:type="dxa"/>
            </w:tcMar>
            <w:vAlign w:val="center"/>
          </w:tcPr>
          <w:p>
            <w:pPr>
              <w:spacing w:before="0" w:after="0" w:line="240" w:lineRule="auto"/>
              <w:jc w:val="right"/>
            </w:pPr>
            <w:r>
              <w:t>($34,534)</w:t>
            </w:r>
          </w:p>
        </w:tc>
        <w:tc>
          <w:tcPr>
            <w:tcW w:type="dxa" w:w="2430"/>
            <w:tcMar>
              <w:top w:w="100" w:type="dxa"/>
              <w:start w:w="120" w:type="dxa"/>
              <w:bottom w:w="100" w:type="dxa"/>
              <w:end w:w="120" w:type="dxa"/>
            </w:tcMar>
            <w:vAlign w:val="center"/>
          </w:tcPr>
          <w:p>
            <w:pPr>
              <w:spacing w:before="0" w:after="0" w:line="240" w:lineRule="auto"/>
              <w:jc w:val="right"/>
            </w:pPr>
            <w:r>
              <w:t>($34,534)</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b/>
              </w:rPr>
              <w:t>Estimated net position at sale</w:t>
            </w:r>
          </w:p>
        </w:tc>
        <w:tc>
          <w:tcPr>
            <w:tcW w:type="dxa" w:w="2430"/>
            <w:tcMar>
              <w:top w:w="100" w:type="dxa"/>
              <w:start w:w="120" w:type="dxa"/>
              <w:bottom w:w="100" w:type="dxa"/>
              <w:end w:w="120" w:type="dxa"/>
            </w:tcMar>
            <w:vAlign w:val="center"/>
          </w:tcPr>
          <w:p>
            <w:pPr>
              <w:spacing w:before="0" w:after="0" w:line="240" w:lineRule="auto"/>
              <w:jc w:val="right"/>
            </w:pPr>
            <w:r>
              <w:rPr>
                <w:b/>
              </w:rPr>
              <w:t>($17,226)</w:t>
            </w:r>
          </w:p>
        </w:tc>
        <w:tc>
          <w:tcPr>
            <w:tcW w:type="dxa" w:w="2430"/>
            <w:tcMar>
              <w:top w:w="100" w:type="dxa"/>
              <w:start w:w="120" w:type="dxa"/>
              <w:bottom w:w="100" w:type="dxa"/>
              <w:end w:w="120" w:type="dxa"/>
            </w:tcMar>
            <w:vAlign w:val="center"/>
          </w:tcPr>
          <w:p>
            <w:pPr>
              <w:spacing w:before="0" w:after="0" w:line="240" w:lineRule="auto"/>
              <w:jc w:val="right"/>
            </w:pPr>
            <w:r>
              <w:rPr>
                <w:b/>
              </w:rPr>
              <w:t>($27,226)</w:t>
            </w:r>
          </w:p>
        </w:tc>
      </w:tr>
    </w:tbl>
    <w:p>
      <w:pPr>
        <w:spacing w:after="40"/>
      </w:pPr>
    </w:p>
    <w:p>
      <w:pPr/>
      <w:r>
        <w:t>The table combines the $28,267 historical HELOC payoff and $6,267 cure cost into one $34,534 deduction. The resulting estimate is negative $17,226 to negative $27,226 before separate litigation expenses and any additional historical costs.</w:t>
      </w:r>
    </w:p>
    <w:p>
      <w:pPr>
        <w:pStyle w:val="Heading1"/>
      </w:pPr>
      <w:r>
        <w:t>Equity, Creditor Priority, Bankruptcy, And Collectability</w:t>
      </w:r>
    </w:p>
    <w:p>
      <w:pPr/>
      <w:r>
        <w:t>The defense position is that legal expense has consumed the property's economic benefit and no settlement equity will remain after rehabilitation and sale. After the combined $34,534 historical HELOC-and-cure deduction, the current figures estimate a negative $17,226 to negative $27,226 sale position before separate litigation expenses and any additional historical costs.</w:t>
      </w:r>
    </w:p>
    <w:p>
      <w:pPr/>
      <w:r>
        <w:t>A secured creditor generally looks first to its collateral, while an unsecured claimant may recover only from value remaining after valid secured claims and applicable costs.</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t>Present the mortgage, combined HELOC-and-cure deduction, rehab, carrying-cost, and legal-expense records.</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Is rescission or return of title still available after Brynda's death, and who has standing?</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ListNumber"/>
        <w:numPr>
          <w:ilvl w:val="0"/>
          <w:numId w:val="12"/>
        </w:numPr>
      </w:pPr>
      <w:r>
        <w:rPr>
          <w:rFonts w:ascii="Calibri" w:hAnsi="Calibri" w:eastAsia="Calibri"/>
          <w:b w:val="0"/>
          <w:i w:val="0"/>
          <w:color w:val="1A1A1A"/>
          <w:sz w:val="22"/>
        </w:rPr>
        <w:t>How should the September 25 Huston contact be presented without overstating what Natalie was told?</w:t>
      </w:r>
    </w:p>
    <w:p>
      <w:pPr>
        <w:pStyle w:val="ListNumber"/>
        <w:numPr>
          <w:ilvl w:val="0"/>
          <w:numId w:val="12"/>
        </w:numPr>
      </w:pPr>
      <w:r>
        <w:rPr>
          <w:rFonts w:ascii="Calibri" w:hAnsi="Calibri" w:eastAsia="Calibri"/>
          <w:b w:val="0"/>
          <w:i w:val="0"/>
          <w:color w:val="1A1A1A"/>
          <w:sz w:val="22"/>
        </w:rPr>
        <w:t>Which fees, sanctions, or claims can legally be preserved, and at what procedural stage?</w:t>
      </w:r>
    </w:p>
    <w:p>
      <w:pPr>
        <w:pStyle w:val="ListNumber"/>
        <w:numPr>
          <w:ilvl w:val="0"/>
          <w:numId w:val="12"/>
        </w:numPr>
      </w:pPr>
      <w:r>
        <w:rPr>
          <w:rFonts w:ascii="Calibri" w:hAnsi="Calibri" w:eastAsia="Calibri"/>
          <w:b w:val="0"/>
          <w:i w:val="0"/>
          <w:color w:val="1A1A1A"/>
          <w:sz w:val="22"/>
        </w:rPr>
        <w:t>What documents are needed to prove damages without double counting mortgage-funded legal expenses?</w:t>
      </w:r>
    </w:p>
    <w:p>
      <w:pPr>
        <w:pStyle w:val="ListNumber"/>
        <w:numPr>
          <w:ilvl w:val="0"/>
          <w:numId w:val="12"/>
        </w:numPr>
      </w:pPr>
      <w:r>
        <w:rPr>
          <w:rFonts w:ascii="Calibri" w:hAnsi="Calibri" w:eastAsia="Calibri"/>
          <w:b w:val="0"/>
          <w:i w:val="0"/>
          <w:color w:val="1A1A1A"/>
          <w:sz w:val="22"/>
        </w:rPr>
        <w:t>What is the defensible present value of the lease?</w:t>
      </w:r>
    </w:p>
    <w:p>
      <w:pPr>
        <w:pStyle w:val="ListNumber"/>
        <w:numPr>
          <w:ilvl w:val="0"/>
          <w:numId w:val="12"/>
        </w:numPr>
      </w:pPr>
      <w:r>
        <w:rPr>
          <w:rFonts w:ascii="Calibri" w:hAnsi="Calibri" w:eastAsia="Calibri"/>
          <w:b w:val="0"/>
          <w:i w:val="0"/>
          <w:color w:val="1A1A1A"/>
          <w:sz w:val="22"/>
        </w:rPr>
        <w:t>What settlement terms are needed for keys, possession, remaining property, release, dismissal, confidentiality, and no further payment?</w:t>
      </w:r>
    </w:p>
    <w:p>
      <w:pPr>
        <w:pStyle w:val="ListNumber"/>
        <w:numPr>
          <w:ilvl w:val="0"/>
          <w:numId w:val="12"/>
        </w:numPr>
      </w:pPr>
      <w:r>
        <w:rPr>
          <w:rFonts w:ascii="Calibri" w:hAnsi="Calibri" w:eastAsia="Calibri"/>
          <w:b w:val="0"/>
          <w:i w:val="0"/>
          <w:color w:val="1A1A1A"/>
          <w:sz w:val="22"/>
        </w:rPr>
        <w:t>What would trial likely cost from mediation through verdict, including experts and post-trial motions?</w:t>
      </w:r>
    </w:p>
    <w:p>
      <w:pPr>
        <w:pStyle w:val="ListNumber"/>
        <w:numPr>
          <w:ilvl w:val="0"/>
          <w:numId w:val="12"/>
        </w:numPr>
      </w:pPr>
      <w:r>
        <w:rPr>
          <w:rFonts w:ascii="Calibri" w:hAnsi="Calibri" w:eastAsia="Calibri"/>
          <w:b w:val="0"/>
          <w:i w:val="0"/>
          <w:color w:val="1A1A1A"/>
          <w:sz w:val="22"/>
        </w:rPr>
        <w:t>Does the May 21, 2025 lease-buyout response remain usable, and where is the April 9 email?</w:t>
      </w:r>
    </w:p>
    <w:p>
      <w:pPr>
        <w:pStyle w:val="Heading1"/>
      </w:pPr>
      <w:r>
        <w:t>Open Verification Items</w:t>
      </w:r>
    </w:p>
    <w:p>
      <w:pPr>
        <w:pStyle w:val="ListBullet"/>
      </w:pPr>
      <w:r>
        <w:rPr>
          <w:rFonts w:ascii="Calibri" w:hAnsi="Calibri" w:eastAsia="Calibri"/>
          <w:b w:val="0"/>
          <w:i w:val="0"/>
          <w:color w:val="1A1A1A"/>
          <w:sz w:val="22"/>
        </w:rPr>
        <w:t>Refinance note, deed of trust, closing disclosure, and exact refinance date.</w:t>
      </w:r>
    </w:p>
    <w:p>
      <w:pPr>
        <w:pStyle w:val="ListBullet"/>
      </w:pPr>
      <w:r>
        <w:rPr>
          <w:rFonts w:ascii="Calibri" w:hAnsi="Calibri" w:eastAsia="Calibri"/>
          <w:b w:val="0"/>
          <w:i w:val="0"/>
          <w:color w:val="1A1A1A"/>
          <w:sz w:val="22"/>
        </w:rPr>
        <w:t>Current mortgage statement confirming the $178,692 July 3, 2026 figure.</w:t>
      </w:r>
    </w:p>
    <w:p>
      <w:pPr>
        <w:pStyle w:val="ListBullet"/>
      </w:pPr>
      <w:r>
        <w:rPr>
          <w:rFonts w:ascii="Calibri" w:hAnsi="Calibri" w:eastAsia="Calibri"/>
          <w:b w:val="0"/>
          <w:i w:val="0"/>
          <w:color w:val="1A1A1A"/>
          <w:sz w:val="22"/>
        </w:rPr>
        <w:t>Support for the $250,000 sale price, $40,000-$50,000 rehab range, commission, and closing costs.</w:t>
      </w:r>
    </w:p>
    <w:p>
      <w:pPr>
        <w:pStyle w:val="ListBullet"/>
      </w:pPr>
      <w:r>
        <w:rPr>
          <w:rFonts w:ascii="Calibri" w:hAnsi="Calibri" w:eastAsia="Calibri"/>
          <w:b w:val="0"/>
          <w:i w:val="0"/>
          <w:color w:val="1A1A1A"/>
          <w:sz w:val="22"/>
        </w:rPr>
        <w:t>April 9, 2025 offer email and any attachment.</w:t>
      </w:r>
    </w:p>
    <w:p>
      <w:pPr>
        <w:pStyle w:val="ListBullet"/>
      </w:pPr>
      <w:r>
        <w:rPr>
          <w:rFonts w:ascii="Calibri" w:hAnsi="Calibri" w:eastAsia="Calibri"/>
          <w:b w:val="0"/>
          <w:i w:val="0"/>
          <w:color w:val="1A1A1A"/>
          <w:sz w:val="22"/>
        </w:rPr>
        <w:t>Operative lease and professional lease-buyout valuation.</w:t>
      </w:r>
    </w:p>
    <w:p>
      <w:pPr>
        <w:pStyle w:val="ListBullet"/>
      </w:pPr>
      <w:r>
        <w:rPr>
          <w:rFonts w:ascii="Calibri" w:hAnsi="Calibri" w:eastAsia="Calibri"/>
          <w:b w:val="0"/>
          <w:i w:val="0"/>
          <w:color w:val="1A1A1A"/>
          <w:sz w:val="22"/>
        </w:rPr>
        <w:t>Deed execution, notarization, and recording page resolving November 28 versus November 30.</w:t>
      </w:r>
    </w:p>
    <w:p>
      <w:pPr>
        <w:pStyle w:val="ListBullet"/>
      </w:pPr>
      <w:r>
        <w:rPr>
          <w:rFonts w:ascii="Calibri" w:hAnsi="Calibri" w:eastAsia="Calibri"/>
          <w:b w:val="0"/>
          <w:i w:val="0"/>
          <w:color w:val="1A1A1A"/>
          <w:sz w:val="22"/>
        </w:rPr>
        <w:t>Title search confirming all Rosebrooks liens and separating the Poyner/Rose documents.</w:t>
      </w:r>
    </w:p>
    <w:p>
      <w:pPr>
        <w:pStyle w:val="ListBullet"/>
      </w:pPr>
      <w:r>
        <w:t>Journal pages supporting the broad 2023 knowledge, sale, rent, and landlord entries described by Wes.</w:t>
      </w:r>
    </w:p>
    <w:p>
      <w:pPr>
        <w:pStyle w:val="Heading1"/>
        <w:pageBreakBefore/>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2026-08-14  |  Version 1.7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1.7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1.7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2026-08-14T17:23:16Z</dcterms:modified>
  <cp:category/>
</cp:coreProperties>
</file>