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rPr>
          <w:rFonts w:ascii="Calibri" w:hAnsi="Calibri" w:eastAsia="Calibri"/>
          <w:b/>
          <w:color w:val="19324D"/>
          <w:sz w:val="21"/>
        </w:rPr>
        <w:t xml:space="preserve">Prepared:  </w:t>
      </w:r>
      <w:r>
        <w:rPr>
          <w:rFonts w:ascii="Calibri" w:hAnsi="Calibri" w:eastAsia="Calibri"/>
          <w:color w:val="1A1A1A"/>
          <w:sz w:val="21"/>
        </w:rPr>
        <w:t>July 29, 2026</w:t>
      </w:r>
    </w:p>
    <w:p>
      <w:pPr>
        <w:spacing w:after="40"/>
        <w:ind w:left="115"/>
      </w:pPr>
      <w:r>
        <w:rPr>
          <w:rFonts w:ascii="Calibri" w:hAnsi="Calibri" w:eastAsia="Calibri"/>
          <w:b/>
          <w:color w:val="19324D"/>
          <w:sz w:val="21"/>
        </w:rPr>
        <w:t xml:space="preserve">Version:  </w:t>
      </w:r>
      <w:r>
        <w:rPr>
          <w:rFonts w:ascii="Calibri" w:hAnsi="Calibri" w:eastAsia="Calibri"/>
          <w:color w:val="1A1A1A"/>
          <w:sz w:val="21"/>
        </w:rPr>
        <w:t>1.0</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 xml:space="preserve">Audience:  </w:t>
      </w:r>
      <w:r>
        <w:rPr>
          <w:rFonts w:ascii="Calibri" w:hAnsi="Calibri" w:eastAsia="Calibri"/>
          <w:color w:val="1A1A1A"/>
          <w:sz w:val="21"/>
        </w:rPr>
        <w:t>Wes, Jenny, and counsel</w:t>
      </w:r>
    </w:p>
    <w:p>
      <w:pPr>
        <w:pStyle w:val="Callout"/>
        <w:shd w:fill="FBF5E8"/>
        <w:pBdr>
          <w:left w:val="single" w:sz="18" w:space="8" w:color="9A6B16"/>
        </w:pBdr>
      </w:pPr>
      <w:r>
        <w:rPr>
          <w:rFonts w:ascii="Calibri" w:hAnsi="Calibri" w:eastAsia="Calibri"/>
          <w:b/>
          <w:color w:val="9A6B16"/>
          <w:sz w:val="20"/>
        </w:rPr>
        <w:t xml:space="preserve">ATTORNEY REVIEW REQUIRED. </w:t>
      </w:r>
      <w:r>
        <w:rPr>
          <w:rFonts w:ascii="Calibri" w:hAnsi="Calibri" w:eastAsia="Calibri"/>
          <w:b w:val="0"/>
          <w:i w:val="0"/>
          <w:color w:val="1A1A1A"/>
          <w:sz w:val="20"/>
        </w:rPr>
        <w:t>This is a source-based working analysis, not legal advice, a filed pleading, or an authorized settlement communication. It should not be sent to opposing counsel or the mediator without Keith's review and Wes's express approval.</w:t>
      </w:r>
    </w:p>
    <w:p>
      <w:pPr>
        <w:pStyle w:val="Heading1"/>
      </w:pPr>
      <w:r>
        <w:t>Executive Summary</w:t>
      </w:r>
    </w:p>
    <w:p>
      <w:r>
        <w:rPr>
          <w:rFonts w:ascii="Calibri" w:hAnsi="Calibri" w:eastAsia="Calibri"/>
          <w:b w:val="0"/>
          <w:i w:val="0"/>
          <w:color w:val="1A1A1A"/>
        </w:rPr>
        <w:t>The record supports a clearer chronology than the timeline supplied in Jenny's mediation-call notes. The principal corrections are:</w:t>
      </w:r>
    </w:p>
    <w:p>
      <w:pPr>
        <w:pStyle w:val="ListBullet"/>
      </w:pPr>
      <w:r>
        <w:rPr>
          <w:rFonts w:ascii="Calibri" w:hAnsi="Calibri" w:eastAsia="Calibri"/>
          <w:b w:val="0"/>
          <w:i w:val="0"/>
          <w:color w:val="1A1A1A"/>
          <w:sz w:val="22"/>
        </w:rPr>
        <w:t xml:space="preserve">Kevin Huston's meeting with Brynda and documented contact with Natalie occurred on or about </w:t>
      </w:r>
      <w:r>
        <w:rPr>
          <w:rFonts w:ascii="Calibri" w:hAnsi="Calibri" w:eastAsia="Calibri"/>
          <w:b/>
          <w:i w:val="0"/>
          <w:color w:val="1A1A1A"/>
          <w:sz w:val="22"/>
        </w:rPr>
        <w:t>September 25, 2023</w:t>
      </w:r>
      <w:r>
        <w:rPr>
          <w:rFonts w:ascii="Calibri" w:hAnsi="Calibri" w:eastAsia="Calibri"/>
          <w:b w:val="0"/>
          <w:i w:val="0"/>
          <w:color w:val="1A1A1A"/>
          <w:sz w:val="22"/>
        </w:rPr>
        <w:t>, not September 15.</w:t>
      </w:r>
    </w:p>
    <w:p>
      <w:pPr>
        <w:pStyle w:val="ListBullet"/>
      </w:pPr>
      <w:r>
        <w:rPr>
          <w:rFonts w:ascii="Calibri" w:hAnsi="Calibri" w:eastAsia="Calibri"/>
          <w:b w:val="0"/>
          <w:i w:val="0"/>
          <w:color w:val="1A1A1A"/>
          <w:sz w:val="22"/>
        </w:rPr>
        <w:t xml:space="preserve">Brynda's first call with Wes occurred on </w:t>
      </w:r>
      <w:r>
        <w:rPr>
          <w:rFonts w:ascii="Calibri" w:hAnsi="Calibri" w:eastAsia="Calibri"/>
          <w:b/>
          <w:i w:val="0"/>
          <w:color w:val="1A1A1A"/>
          <w:sz w:val="22"/>
        </w:rPr>
        <w:t>October 28, 2023</w:t>
      </w:r>
      <w:r>
        <w:rPr>
          <w:rFonts w:ascii="Calibri" w:hAnsi="Calibri" w:eastAsia="Calibri"/>
          <w:b w:val="0"/>
          <w:i w:val="0"/>
          <w:color w:val="1A1A1A"/>
          <w:sz w:val="22"/>
        </w:rPr>
        <w:t xml:space="preserve">, followed by their meeting on </w:t>
      </w:r>
      <w:r>
        <w:rPr>
          <w:rFonts w:ascii="Calibri" w:hAnsi="Calibri" w:eastAsia="Calibri"/>
          <w:b/>
          <w:i w:val="0"/>
          <w:color w:val="1A1A1A"/>
          <w:sz w:val="22"/>
        </w:rPr>
        <w:t>October 29</w:t>
      </w:r>
      <w:r>
        <w:rPr>
          <w:rFonts w:ascii="Calibri" w:hAnsi="Calibri" w:eastAsia="Calibri"/>
          <w:b w:val="0"/>
          <w:i w:val="0"/>
          <w:color w:val="1A1A1A"/>
          <w:sz w:val="22"/>
        </w:rPr>
        <w:t>, not October 23.</w:t>
      </w:r>
    </w:p>
    <w:p>
      <w:pPr>
        <w:pStyle w:val="ListBullet"/>
      </w:pPr>
      <w:r>
        <w:rPr>
          <w:rFonts w:ascii="Calibri" w:hAnsi="Calibri" w:eastAsia="Calibri"/>
          <w:b w:val="0"/>
          <w:i w:val="0"/>
          <w:color w:val="1A1A1A"/>
          <w:sz w:val="22"/>
        </w:rPr>
        <w:t xml:space="preserve">Wes paid </w:t>
      </w:r>
      <w:r>
        <w:rPr>
          <w:rFonts w:ascii="Calibri" w:hAnsi="Calibri" w:eastAsia="Calibri"/>
          <w:b/>
          <w:i w:val="0"/>
          <w:color w:val="1A1A1A"/>
          <w:sz w:val="22"/>
        </w:rPr>
        <w:t>$6,266.78 on November 15, 2023</w:t>
      </w:r>
      <w:r>
        <w:rPr>
          <w:rFonts w:ascii="Calibri" w:hAnsi="Calibri" w:eastAsia="Calibri"/>
          <w:b w:val="0"/>
          <w:i w:val="0"/>
          <w:color w:val="1A1A1A"/>
          <w:sz w:val="22"/>
        </w:rPr>
        <w:t xml:space="preserve"> to cure the Bank of America arrears. The defense brief says Bank of America filed notice on </w:t>
      </w:r>
      <w:r>
        <w:rPr>
          <w:rFonts w:ascii="Calibri" w:hAnsi="Calibri" w:eastAsia="Calibri"/>
          <w:b/>
          <w:i w:val="0"/>
          <w:color w:val="1A1A1A"/>
          <w:sz w:val="22"/>
        </w:rPr>
        <w:t>November 16</w:t>
      </w:r>
      <w:r>
        <w:rPr>
          <w:rFonts w:ascii="Calibri" w:hAnsi="Calibri" w:eastAsia="Calibri"/>
          <w:b w:val="0"/>
          <w:i w:val="0"/>
          <w:color w:val="1A1A1A"/>
          <w:sz w:val="22"/>
        </w:rPr>
        <w:t xml:space="preserve"> that foreclosure would not proceed, although the exhibit filename uses November 15.</w:t>
      </w:r>
    </w:p>
    <w:p>
      <w:pPr>
        <w:pStyle w:val="ListBullet"/>
      </w:pPr>
      <w:r>
        <w:rPr>
          <w:rFonts w:ascii="Calibri" w:hAnsi="Calibri" w:eastAsia="Calibri"/>
          <w:b w:val="0"/>
          <w:i w:val="0"/>
          <w:color w:val="1A1A1A"/>
          <w:sz w:val="22"/>
        </w:rPr>
        <w:t xml:space="preserve">The defense evidence describes Brynda signing the deed on </w:t>
      </w:r>
      <w:r>
        <w:rPr>
          <w:rFonts w:ascii="Calibri" w:hAnsi="Calibri" w:eastAsia="Calibri"/>
          <w:b/>
          <w:i w:val="0"/>
          <w:color w:val="1A1A1A"/>
          <w:sz w:val="22"/>
        </w:rPr>
        <w:t>November 28, 2023</w:t>
      </w:r>
      <w:r>
        <w:rPr>
          <w:rFonts w:ascii="Calibri" w:hAnsi="Calibri" w:eastAsia="Calibri"/>
          <w:b w:val="0"/>
          <w:i w:val="0"/>
          <w:color w:val="1A1A1A"/>
          <w:sz w:val="22"/>
        </w:rPr>
        <w:t>, while the deed was dated November 30 and other pleadings describe execution on November 30. The deed/notary/recording page is needed to resolve that distinction.</w:t>
      </w:r>
    </w:p>
    <w:p>
      <w:pPr>
        <w:pStyle w:val="ListBullet"/>
      </w:pPr>
      <w:r>
        <w:rPr>
          <w:rFonts w:ascii="Calibri" w:hAnsi="Calibri" w:eastAsia="Calibri"/>
          <w:b w:val="0"/>
          <w:i w:val="0"/>
          <w:color w:val="1A1A1A"/>
          <w:sz w:val="22"/>
        </w:rPr>
        <w:t xml:space="preserve">The lawsuit was filed on </w:t>
      </w:r>
      <w:r>
        <w:rPr>
          <w:rFonts w:ascii="Calibri" w:hAnsi="Calibri" w:eastAsia="Calibri"/>
          <w:b/>
          <w:i w:val="0"/>
          <w:color w:val="1A1A1A"/>
          <w:sz w:val="22"/>
        </w:rPr>
        <w:t>November 18, 2024</w:t>
      </w:r>
      <w:r>
        <w:rPr>
          <w:rFonts w:ascii="Calibri" w:hAnsi="Calibri" w:eastAsia="Calibri"/>
          <w:b w:val="0"/>
          <w:i w:val="0"/>
          <w:color w:val="1A1A1A"/>
          <w:sz w:val="22"/>
        </w:rPr>
        <w:t xml:space="preserve">. Service records indicate Buy Your Home received the summons and complaint on </w:t>
      </w:r>
      <w:r>
        <w:rPr>
          <w:rFonts w:ascii="Calibri" w:hAnsi="Calibri" w:eastAsia="Calibri"/>
          <w:b/>
          <w:i w:val="0"/>
          <w:color w:val="1A1A1A"/>
          <w:sz w:val="22"/>
        </w:rPr>
        <w:t>December 2, 2024</w:t>
      </w:r>
      <w:r>
        <w:rPr>
          <w:rFonts w:ascii="Calibri" w:hAnsi="Calibri" w:eastAsia="Calibri"/>
          <w:b w:val="0"/>
          <w:i w:val="0"/>
          <w:color w:val="1A1A1A"/>
          <w:sz w:val="22"/>
        </w:rPr>
        <w:t>, with an affidavit of service dated December 6.</w:t>
      </w:r>
    </w:p>
    <w:p>
      <w:r>
        <w:rPr>
          <w:rFonts w:ascii="Calibri" w:hAnsi="Calibri" w:eastAsia="Calibri"/>
          <w:b w:val="0"/>
          <w:i w:val="0"/>
          <w:color w:val="1A1A1A"/>
        </w:rPr>
        <w:t xml:space="preserve">Jenny's figures support two different financial presentations. A current sale cash-flow calculation produces an estimated </w:t>
      </w:r>
      <w:r>
        <w:rPr>
          <w:rFonts w:ascii="Calibri" w:hAnsi="Calibri" w:eastAsia="Calibri"/>
          <w:b/>
          <w:i w:val="0"/>
          <w:color w:val="1A1A1A"/>
        </w:rPr>
        <w:t>$7,308 to $17,308</w:t>
      </w:r>
      <w:r>
        <w:rPr>
          <w:rFonts w:ascii="Calibri" w:hAnsi="Calibri" w:eastAsia="Calibri"/>
          <w:b w:val="0"/>
          <w:i w:val="0"/>
          <w:color w:val="1A1A1A"/>
        </w:rPr>
        <w:t xml:space="preserve"> before historical acquisition/cure costs and litigation expenses. A broader economic calculation becomes negative after including historical HELOC payoff/cure amounts, but the source record contains conflicting figures and a possible overlap between the $6,267 reinstatement and $28,267 payoff. Those amounts must be reconciled before mediation.</w:t>
      </w:r>
    </w:p>
    <w:p>
      <w:r>
        <w:br w:type="page"/>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contemporaneous Huston email describes Wilson as trying to buy for $200,000; later Wilson/Huston evidence describes approximately $140,000. Preserve the discrepancy.</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r>
        <w:rPr>
          <w:rFonts w:ascii="Calibri" w:hAnsi="Calibri" w:eastAsia="Calibri"/>
          <w:b w:val="0"/>
          <w:i w:val="0"/>
          <w:color w:val="1A1A1A"/>
        </w:rP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is not a contradiction in Natalie's testimony, but it supports deliberation about both sale and continued possession. The Wilson offer amount remains disputed between the contemporaneous email and later testimony.</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r>
        <w:rPr>
          <w:rFonts w:ascii="Calibri" w:hAnsi="Calibri" w:eastAsia="Calibri"/>
          <w:b w:val="0"/>
          <w:i w:val="0"/>
          <w:color w:val="1A1A1A"/>
        </w:rPr>
        <w:t>The defense raised potential Rule 11 concerns because claims allegedly relied on a power of attorney viewed as irrelevant to the sale. In plain terms, the concern is that the factual or legal basis for relying on that document may have been insufficient. This is a litigation position, not a finding that plaintiff or counsel violated Rule 11 or that sanctions will be imposed.</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r>
        <w:rPr>
          <w:rFonts w:ascii="Calibri" w:hAnsi="Calibri" w:eastAsia="Calibri"/>
          <w:b w:val="0"/>
          <w:i w:val="0"/>
          <w:color w:val="1A1A1A"/>
        </w:rPr>
        <w:t>Rescission asks a court to unwind a transaction and attempt to restore the parties to their pre-transaction positions rather than simply award ordinary damages. The proposed summary-judgment order in the source set would leave only undue influence for trial, but it is not the signed, entered order. The operative order must be obtained before representing that rescission, Chapter 75, fraud, or other relief has definitively been removed.</w:t>
      </w:r>
    </w:p>
    <w:p>
      <w:r>
        <w:rPr>
          <w:rFonts w:ascii="Calibri" w:hAnsi="Calibri" w:eastAsia="Calibri"/>
          <w:b w:val="0"/>
          <w:i w:val="0"/>
          <w:color w:val="1A1A1A"/>
        </w:rP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 Those points support the defense view but are not a judicial determination.</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Fraud, Chapter 75, And Appeal</w:t>
      </w:r>
    </w:p>
    <w:p>
      <w:r>
        <w:rPr>
          <w:rFonts w:ascii="Calibri" w:hAnsi="Calibri" w:eastAsia="Calibri"/>
          <w:b/>
          <w:i w:val="0"/>
          <w:color w:val="1A1A1A"/>
        </w:rPr>
        <w:t>Fraud</w:t>
      </w:r>
      <w:r>
        <w:rPr>
          <w:rFonts w:ascii="Calibri" w:hAnsi="Calibri" w:eastAsia="Calibri"/>
          <w:b w:val="0"/>
          <w:i w:val="0"/>
          <w:color w:val="1A1A1A"/>
        </w:rPr>
        <w:t xml:space="preserve"> </w:t>
      </w:r>
      <w:r>
        <w:rPr>
          <w:rFonts w:ascii="Calibri" w:hAnsi="Calibri" w:eastAsia="Calibri"/>
          <w:b w:val="0"/>
          <w:i/>
          <w:color w:val="1A1A1A"/>
        </w:rPr>
        <w:t>(in plain terms: an intentional material misrepresentation or concealment made to deceive, reasonable reliance by the other party, and resulting injury).</w:t>
      </w:r>
      <w:r>
        <w:rPr>
          <w:rFonts w:ascii="Calibri" w:hAnsi="Calibri" w:eastAsia="Calibri"/>
          <w:b w:val="0"/>
          <w:i w:val="0"/>
          <w:color w:val="1A1A1A"/>
        </w:rPr>
        <w:t xml:space="preserve"> Whether those elements apply here is a legal question for counsel; the record should not be summarized as proving fraud by either side.</w:t>
      </w:r>
    </w:p>
    <w:p>
      <w:r>
        <w:rPr>
          <w:rFonts w:ascii="Calibri" w:hAnsi="Calibri" w:eastAsia="Calibri"/>
          <w:b/>
          <w:i w:val="0"/>
          <w:color w:val="1A1A1A"/>
        </w:rPr>
        <w:t>Chapter 75</w:t>
      </w:r>
      <w:r>
        <w:rPr>
          <w:rFonts w:ascii="Calibri" w:hAnsi="Calibri" w:eastAsia="Calibri"/>
          <w:b w:val="0"/>
          <w:i w:val="0"/>
          <w:color w:val="1A1A1A"/>
        </w:rPr>
        <w:t xml:space="preserve"> </w:t>
      </w:r>
      <w:r>
        <w:rPr>
          <w:rFonts w:ascii="Calibri" w:hAnsi="Calibri" w:eastAsia="Calibri"/>
          <w:b w:val="0"/>
          <w:i/>
          <w:color w:val="1A1A1A"/>
        </w:rPr>
        <w:t>(in plain terms: North Carolina's statutory prohibition on unfair or deceptive acts or practices in or affecting commerce).</w:t>
      </w:r>
      <w:r>
        <w:rPr>
          <w:rFonts w:ascii="Calibri" w:hAnsi="Calibri" w:eastAsia="Calibri"/>
          <w:b w:val="0"/>
          <w:i w:val="0"/>
          <w:color w:val="1A1A1A"/>
        </w:rPr>
        <w:t xml:space="preserve"> If a claimant proves a covered violation and injury, assessed damages are trebled under G.S. 75-16. Attorney fees are discretionary and require the findings stated in G.S. 75-16.1; they are not automatic. See </w:t>
      </w:r>
      <w:hyperlink r:id="rId11">
        <w:r>
          <w:rPr>
            <w:color w:val="2E5D7B"/>
            <w:u w:val="single"/>
          </w:rPr>
          <w:t>N.C. Gen. Stat. Chapter 75</w:t>
        </w:r>
      </w:hyperlink>
      <w:r>
        <w:rPr>
          <w:rFonts w:ascii="Calibri" w:hAnsi="Calibri" w:eastAsia="Calibri"/>
          <w:b w:val="0"/>
          <w:i w:val="0"/>
          <w:color w:val="1A1A1A"/>
        </w:rPr>
        <w:t>.</w:t>
      </w:r>
    </w:p>
    <w:p>
      <w:r>
        <w:rPr>
          <w:rFonts w:ascii="Calibri" w:hAnsi="Calibri" w:eastAsia="Calibri"/>
          <w:b w:val="0"/>
          <w:i w:val="0"/>
          <w:color w:val="1A1A1A"/>
        </w:rPr>
        <w:t>The defense identifies a threshold pleading problem with the Chapter 75 claim, meaning the complaint may not allege what is legally required before the merits are reached. Counsel must identify the exact defect and whether the entered order adopted that position.</w:t>
      </w:r>
    </w:p>
    <w:p>
      <w:r>
        <w:rPr>
          <w:rFonts w:ascii="Calibri" w:hAnsi="Calibri" w:eastAsia="Calibri"/>
          <w:b w:val="0"/>
          <w:i w:val="0"/>
          <w:color w:val="1A1A1A"/>
        </w:rPr>
        <w:t>The defense assesses the likelihood of reversal and sanctions exposure favorably. Those are strategic assessments, not established outcomes. Any mediation statement should preserve rights without promising an unsupported countersuit or making a personal threat.</w:t>
      </w:r>
    </w:p>
    <w:p>
      <w:pPr>
        <w:pStyle w:val="Heading1"/>
      </w:pPr>
      <w:r>
        <w:t>Three Counsel-Review Credibility Issues</w:t>
      </w:r>
    </w:p>
    <w:p>
      <w:pPr>
        <w:pStyle w:val="Heading2"/>
      </w:pPr>
      <w:r>
        <w:t>1. Foreclosure Knowledge</w:t>
      </w:r>
    </w:p>
    <w:p>
      <w:r>
        <w:rPr>
          <w:rFonts w:ascii="Calibri" w:hAnsi="Calibri" w:eastAsia="Calibri"/>
          <w:b w:val="0"/>
          <w:i w:val="0"/>
          <w:color w:val="1A1A1A"/>
        </w:rP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 Huston could not recall whether he expressly used the word "foreclosure" or discussed the mortgage.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Natalie's account is difficult to reconcile with Huston's contemporaneous record and testimony. The record does not conclusively prove what exact foreclosure information she received.</w:t>
      </w:r>
    </w:p>
    <w:p>
      <w:pPr>
        <w:pStyle w:val="Heading2"/>
      </w:pPr>
      <w:r>
        <w:t>2. Guardian-Ad-Litem Position</w:t>
      </w:r>
    </w:p>
    <w:p>
      <w:r>
        <w:rPr>
          <w:rFonts w:ascii="Calibri" w:hAnsi="Calibri" w:eastAsia="Calibri"/>
          <w:b w:val="0"/>
          <w:i w:val="0"/>
          <w:color w:val="1A1A1A"/>
        </w:rPr>
        <w:t>Natalie's GAL petition represented that she was disinterested, while her daughters could benefit under Brynda's will if the property returned to Brynda's estate. The appointment was later vacated after a defense challenge concerning notice, hearing, and the lack of an incompetency finding.</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The disinterested-status assertion and procedure create a legitimate credibility and process issue for counsel. Vacatur is not, by itself, proof of dishonesty or improper purpose.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r>
        <w:br w:type="page"/>
      </w:r>
    </w:p>
    <w:p>
      <w:pPr>
        <w:pStyle w:val="Heading1"/>
      </w:pPr>
      <w:r>
        <w:t>Financial Presentation</w:t>
      </w:r>
    </w:p>
    <w:p>
      <w:pPr>
        <w:pStyle w:val="Heading2"/>
      </w:pPr>
      <w:r>
        <w:t>Estimated Current Sale Cash Flow</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i w:val="0"/>
                <w:color w:val="1A1A1A"/>
                <w:sz w:val="19"/>
              </w:rPr>
              <w:t>Estimated cash remaining at sale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$17,308</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$7,308</w:t>
            </w:r>
          </w:p>
        </w:tc>
      </w:tr>
    </w:tbl>
    <w:p>
      <w:pPr>
        <w:spacing w:after="40"/>
      </w:pPr>
    </w:p>
    <w:p>
      <w:r>
        <w:rPr>
          <w:rFonts w:ascii="Calibri" w:hAnsi="Calibri" w:eastAsia="Calibri"/>
          <w:b w:val="0"/>
          <w:i w:val="0"/>
          <w:color w:val="1A1A1A"/>
        </w:rPr>
        <w:t>These figures alone do not produce a negative sale result. They estimate cash remaining after the current lien and sale/rehab costs. Historical acquisition costs and litigation losses must be shown separately to explain the overall negative economic result.</w:t>
      </w:r>
    </w:p>
    <w:p>
      <w:pPr>
        <w:pStyle w:val="Heading2"/>
      </w:pPr>
      <w:r>
        <w:t>Historical HELOC And Cure Costs</w:t>
      </w:r>
    </w:p>
    <w:p>
      <w:r>
        <w:rPr>
          <w:rFonts w:ascii="Calibri" w:hAnsi="Calibri" w:eastAsia="Calibri"/>
          <w:b w:val="0"/>
          <w:i w:val="0"/>
          <w:color w:val="1A1A1A"/>
        </w:rPr>
        <w:t>Jenny's notes list a $28,267 HELOC payoff and a $6,267 reinstatement/cure. The record must establish whether the cure is included in the payoff.</w:t>
      </w:r>
    </w:p>
    <w:p>
      <w:pPr>
        <w:pStyle w:val="ListBullet"/>
      </w:pPr>
      <w:r>
        <w:rPr>
          <w:rFonts w:ascii="Calibri" w:hAnsi="Calibri" w:eastAsia="Calibri"/>
          <w:b w:val="0"/>
          <w:i w:val="0"/>
          <w:color w:val="1A1A1A"/>
          <w:sz w:val="22"/>
        </w:rPr>
        <w:t xml:space="preserve">If the $6,267 is included in $28,267, subtracting the historical amount from estimated sale cash produces approximately </w:t>
      </w:r>
      <w:r>
        <w:rPr>
          <w:rFonts w:ascii="Calibri" w:hAnsi="Calibri" w:eastAsia="Calibri"/>
          <w:b/>
          <w:i w:val="0"/>
          <w:color w:val="1A1A1A"/>
          <w:sz w:val="22"/>
        </w:rPr>
        <w:t>negative $10,959 to negative $20,959</w:t>
      </w:r>
      <w:r>
        <w:rPr>
          <w:rFonts w:ascii="Calibri" w:hAnsi="Calibri" w:eastAsia="Calibri"/>
          <w:b w:val="0"/>
          <w:i w:val="0"/>
          <w:color w:val="1A1A1A"/>
          <w:sz w:val="22"/>
        </w:rPr>
        <w:t>.</w:t>
      </w:r>
    </w:p>
    <w:p>
      <w:pPr>
        <w:pStyle w:val="ListBullet"/>
      </w:pPr>
      <w:r>
        <w:rPr>
          <w:rFonts w:ascii="Calibri" w:hAnsi="Calibri" w:eastAsia="Calibri"/>
          <w:b w:val="0"/>
          <w:i w:val="0"/>
          <w:color w:val="1A1A1A"/>
          <w:sz w:val="22"/>
        </w:rPr>
        <w:t xml:space="preserve">If the $6,267 is additional, the result is approximately </w:t>
      </w:r>
      <w:r>
        <w:rPr>
          <w:rFonts w:ascii="Calibri" w:hAnsi="Calibri" w:eastAsia="Calibri"/>
          <w:b/>
          <w:i w:val="0"/>
          <w:color w:val="1A1A1A"/>
          <w:sz w:val="22"/>
        </w:rPr>
        <w:t>negative $17,226 to negative $27,226</w:t>
      </w:r>
      <w:r>
        <w:rPr>
          <w:rFonts w:ascii="Calibri" w:hAnsi="Calibri" w:eastAsia="Calibri"/>
          <w:b w:val="0"/>
          <w:i w:val="0"/>
          <w:color w:val="1A1A1A"/>
          <w:sz w:val="22"/>
        </w:rPr>
        <w:t>.</w:t>
      </w:r>
    </w:p>
    <w:p>
      <w:r>
        <w:rPr>
          <w:rFonts w:ascii="Calibri" w:hAnsi="Calibri" w:eastAsia="Calibri"/>
          <w:b w:val="0"/>
          <w:i w:val="0"/>
          <w:color w:val="1A1A1A"/>
        </w:rPr>
        <w:t>The litigation materials use slightly different figures: $22,257.08 total purchase consideration, including $100 earnest money, plus a $6,266.78 cure payment, or $28,523.86 if additive. Counsel should reconcile the purchase agreement, payoff statement, cure receipt, and Jenny's figures.</w:t>
      </w:r>
    </w:p>
    <w:p>
      <w:pPr>
        <w:pStyle w:val="Heading2"/>
      </w:pPr>
      <w:r>
        <w:t>Avoiding Double Counting</w:t>
      </w:r>
    </w:p>
    <w:p>
      <w:r>
        <w:rPr>
          <w:rFonts w:ascii="Calibri" w:hAnsi="Calibri" w:eastAsia="Calibri"/>
          <w:b w:val="0"/>
          <w:i w:val="0"/>
          <w:color w:val="1A1A1A"/>
        </w:rPr>
        <w:t>The current mortgage payoff should be deducted from sale proceeds because it is a lien. If mortgage proceeds funded legal defense, the same legal spending should not also be deducted from that sale table without a tracing adjustment.</w:t>
      </w:r>
    </w:p>
    <w:p>
      <w:r>
        <w:rPr>
          <w:rFonts w:ascii="Calibri" w:hAnsi="Calibri" w:eastAsia="Calibri"/>
          <w:b w:val="0"/>
          <w:i w:val="0"/>
          <w:color w:val="1A1A1A"/>
        </w:rPr>
        <w:t>For mediation, use three ledgers:</w:t>
      </w:r>
    </w:p>
    <w:p>
      <w:pPr>
        <w:pStyle w:val="ListNumber"/>
        <w:numPr>
          <w:ilvl w:val="0"/>
          <w:numId w:val="10"/>
        </w:numPr>
      </w:pPr>
      <w:r>
        <w:rPr>
          <w:rFonts w:ascii="Calibri" w:hAnsi="Calibri" w:eastAsia="Calibri"/>
          <w:b/>
          <w:i w:val="0"/>
          <w:color w:val="1A1A1A"/>
          <w:sz w:val="22"/>
        </w:rPr>
        <w:t>Property cash flow:</w:t>
      </w:r>
      <w:r>
        <w:rPr>
          <w:rFonts w:ascii="Calibri" w:hAnsi="Calibri" w:eastAsia="Calibri"/>
          <w:b w:val="0"/>
          <w:i w:val="0"/>
          <w:color w:val="1A1A1A"/>
          <w:sz w:val="22"/>
        </w:rPr>
        <w:t xml:space="preserve"> sale price, lien payoff, commission, rehab, and closing costs.</w:t>
      </w:r>
    </w:p>
    <w:p>
      <w:pPr>
        <w:pStyle w:val="ListNumber"/>
        <w:numPr>
          <w:ilvl w:val="0"/>
          <w:numId w:val="10"/>
        </w:numPr>
      </w:pPr>
      <w:r>
        <w:rPr>
          <w:rFonts w:ascii="Calibri" w:hAnsi="Calibri" w:eastAsia="Calibri"/>
          <w:b/>
          <w:i w:val="0"/>
          <w:color w:val="1A1A1A"/>
          <w:sz w:val="22"/>
        </w:rPr>
        <w:t>Historical property investment:</w:t>
      </w:r>
      <w:r>
        <w:rPr>
          <w:rFonts w:ascii="Calibri" w:hAnsi="Calibri" w:eastAsia="Calibri"/>
          <w:b w:val="0"/>
          <w:i w:val="0"/>
          <w:color w:val="1A1A1A"/>
          <w:sz w:val="22"/>
        </w:rPr>
        <w:t xml:space="preserve"> acquisition consideration, HELOC payoff/cure, taxes, insurance, carrying costs, and improvements.</w:t>
      </w:r>
    </w:p>
    <w:p>
      <w:pPr>
        <w:pStyle w:val="ListNumber"/>
        <w:numPr>
          <w:ilvl w:val="0"/>
          <w:numId w:val="10"/>
        </w:numPr>
      </w:pPr>
      <w:r>
        <w:rPr>
          <w:rFonts w:ascii="Calibri" w:hAnsi="Calibri" w:eastAsia="Calibri"/>
          <w:b/>
          <w:i w:val="0"/>
          <w:color w:val="1A1A1A"/>
          <w:sz w:val="22"/>
        </w:rPr>
        <w:t>Litigation expense:</w:t>
      </w:r>
      <w:r>
        <w:rPr>
          <w:rFonts w:ascii="Calibri" w:hAnsi="Calibri" w:eastAsia="Calibri"/>
          <w:b w:val="0"/>
          <w:i w:val="0"/>
          <w:color w:val="1A1A1A"/>
          <w:sz w:val="22"/>
        </w:rPr>
        <w:t xml:space="preserve"> legal fees, experts, lost time, and documented losses, adjusted to avoid counting mortgage-funded expenditures twice.</w:t>
      </w:r>
    </w:p>
    <w:p>
      <w:pPr>
        <w:pStyle w:val="Heading1"/>
      </w:pPr>
      <w:r>
        <w:t>Equity, Creditor Priority, Bankruptcy, And Collectability</w:t>
      </w:r>
    </w:p>
    <w:p>
      <w:r>
        <w:rPr>
          <w:rFonts w:ascii="Calibri" w:hAnsi="Calibri" w:eastAsia="Calibri"/>
          <w:b w:val="0"/>
          <w:i w:val="0"/>
          <w:color w:val="1A1A1A"/>
        </w:rPr>
        <w:t>The defense position is that legal expense has consumed the property's economic benefit and no settlement equity will remain after rehabilitation and sale. The current figures show only $7,308 to $17,308 of estimated sale cash before historical costs; they support that position only after the historical amounts are reconciled.</w:t>
      </w:r>
    </w:p>
    <w:p>
      <w:r>
        <w:rPr>
          <w:rFonts w:ascii="Calibri" w:hAnsi="Calibri" w:eastAsia="Calibri"/>
          <w:b w:val="0"/>
          <w:i w:val="0"/>
          <w:color w:val="1A1A1A"/>
        </w:rPr>
        <w:t>Collectability and bankruptcy are potential strategy considerations, not predetermined outcomes. A secured creditor generally looks first to its collateral, while an unsecured claimant may recover only from value remaining after valid secured claims and applicable costs.</w:t>
      </w:r>
    </w:p>
    <w:p>
      <w:pPr>
        <w:pStyle w:val="Callout"/>
        <w:shd w:fill="EAF1F6"/>
        <w:pBdr>
          <w:left w:val="single" w:sz="18" w:space="8" w:color="2E5D7B"/>
        </w:pBdr>
      </w:pPr>
      <w:r>
        <w:rPr>
          <w:rFonts w:ascii="Calibri" w:hAnsi="Calibri" w:eastAsia="Calibri"/>
          <w:b/>
          <w:color w:val="19324D"/>
          <w:sz w:val="20"/>
        </w:rPr>
        <w:t xml:space="preserve">KEY CORRECTION. </w:t>
      </w:r>
      <w:r>
        <w:rPr>
          <w:rFonts w:ascii="Calibri" w:hAnsi="Calibri" w:eastAsia="Calibri"/>
          <w:b/>
          <w:i w:val="0"/>
          <w:color w:val="1A1A1A"/>
          <w:sz w:val="20"/>
        </w:rPr>
        <w:t>(Wes &amp; Jenny noted: the Poyner documents concern 320 Rose, not 115 Rosebrooks.)</w:t>
      </w:r>
      <w:r>
        <w:rPr>
          <w:rFonts w:ascii="Calibri" w:hAnsi="Calibri" w:eastAsia="Calibri"/>
          <w:b w:val="0"/>
          <w:i w:val="0"/>
          <w:color w:val="1A1A1A"/>
          <w:sz w:val="20"/>
        </w:rPr>
        <w:t xml:space="preserve"> The source inventory contains </w:t>
      </w:r>
      <w:r>
        <w:rPr>
          <w:rFonts w:ascii="Consolas" w:hAnsi="Consolas" w:eastAsia="Consolas"/>
          <w:color w:val="4D5B68"/>
          <w:sz w:val="19"/>
        </w:rPr>
        <w:t>25-09-17 320 Rose - Deed of Trust (Poyner) Draft.docx</w:t>
      </w:r>
      <w:r>
        <w:rPr>
          <w:rFonts w:ascii="Calibri" w:hAnsi="Calibri" w:eastAsia="Calibri"/>
          <w:b w:val="0"/>
          <w:i w:val="0"/>
          <w:color w:val="1A1A1A"/>
          <w:sz w:val="20"/>
        </w:rPr>
        <w:t xml:space="preserve"> and the corresponding promissory note. Poyner should not be presented as a secured creditor against Rosebrooks unless a recorded instrument or title review establishes that fact.</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rPr>
          <w:rFonts w:ascii="Calibri" w:hAnsi="Calibri" w:eastAsia="Calibri"/>
          <w:b w:val="0"/>
          <w:i w:val="0"/>
          <w:color w:val="1A1A1A"/>
          <w:sz w:val="22"/>
        </w:rPr>
        <w:t>Present reconciled mortgage, cure, rehab, carrying-cost, and legal-expense records. Do not use "negative profit" until the HELOC figures are reconciled.</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Is rescission or return of title still available after Brynda's death, and who has standing?</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How should the September 25 Huston contact be presented without overstating what Natalie was told?</w:t>
      </w:r>
    </w:p>
    <w:p>
      <w:pPr>
        <w:pStyle w:val="ListNumber"/>
        <w:numPr>
          <w:ilvl w:val="0"/>
          <w:numId w:val="12"/>
        </w:numPr>
      </w:pPr>
      <w:r>
        <w:rPr>
          <w:rFonts w:ascii="Calibri" w:hAnsi="Calibri" w:eastAsia="Calibri"/>
          <w:b w:val="0"/>
          <w:i w:val="0"/>
          <w:color w:val="1A1A1A"/>
          <w:sz w:val="22"/>
        </w:rPr>
        <w:t>Which fees, sanctions, or claims can legally be preserved, and at what procedural stage?</w:t>
      </w:r>
    </w:p>
    <w:p>
      <w:pPr>
        <w:pStyle w:val="ListNumber"/>
        <w:numPr>
          <w:ilvl w:val="0"/>
          <w:numId w:val="12"/>
        </w:numPr>
      </w:pPr>
      <w:r>
        <w:rPr>
          <w:rFonts w:ascii="Calibri" w:hAnsi="Calibri" w:eastAsia="Calibri"/>
          <w:b w:val="0"/>
          <w:i w:val="0"/>
          <w:color w:val="1A1A1A"/>
          <w:sz w:val="22"/>
        </w:rPr>
        <w:t>What documents are needed to prove damages without double counting mortgage-funded legal expenses?</w:t>
      </w:r>
    </w:p>
    <w:p>
      <w:pPr>
        <w:pStyle w:val="ListNumber"/>
        <w:numPr>
          <w:ilvl w:val="0"/>
          <w:numId w:val="12"/>
        </w:numPr>
      </w:pPr>
      <w:r>
        <w:rPr>
          <w:rFonts w:ascii="Calibri" w:hAnsi="Calibri" w:eastAsia="Calibri"/>
          <w:b w:val="0"/>
          <w:i w:val="0"/>
          <w:color w:val="1A1A1A"/>
          <w:sz w:val="22"/>
        </w:rPr>
        <w:t>What is the defensible present value of the lease?</w:t>
      </w:r>
    </w:p>
    <w:p>
      <w:pPr>
        <w:pStyle w:val="ListNumber"/>
        <w:numPr>
          <w:ilvl w:val="0"/>
          <w:numId w:val="12"/>
        </w:numPr>
      </w:pPr>
      <w:r>
        <w:rPr>
          <w:rFonts w:ascii="Calibri" w:hAnsi="Calibri" w:eastAsia="Calibri"/>
          <w:b w:val="0"/>
          <w:i w:val="0"/>
          <w:color w:val="1A1A1A"/>
          <w:sz w:val="22"/>
        </w:rPr>
        <w:t>What settlement terms are needed for keys, possession, remaining property, release, dismissal, confidentiality, and no further payment?</w:t>
      </w:r>
    </w:p>
    <w:p>
      <w:pPr>
        <w:pStyle w:val="ListNumber"/>
        <w:numPr>
          <w:ilvl w:val="0"/>
          <w:numId w:val="12"/>
        </w:numPr>
      </w:pPr>
      <w:r>
        <w:rPr>
          <w:rFonts w:ascii="Calibri" w:hAnsi="Calibri" w:eastAsia="Calibri"/>
          <w:b w:val="0"/>
          <w:i w:val="0"/>
          <w:color w:val="1A1A1A"/>
          <w:sz w:val="22"/>
        </w:rPr>
        <w:t>What would trial likely cost from mediation through verdict, including experts and post-trial motions?</w:t>
      </w:r>
    </w:p>
    <w:p>
      <w:pPr>
        <w:pStyle w:val="ListNumber"/>
        <w:numPr>
          <w:ilvl w:val="0"/>
          <w:numId w:val="12"/>
        </w:numPr>
      </w:pPr>
      <w:r>
        <w:rPr>
          <w:rFonts w:ascii="Calibri" w:hAnsi="Calibri" w:eastAsia="Calibri"/>
          <w:b w:val="0"/>
          <w:i w:val="0"/>
          <w:color w:val="1A1A1A"/>
          <w:sz w:val="22"/>
        </w:rPr>
        <w:t>Does the May 21, 2025 lease-buyout response remain usable, and where is the April 9 email?</w:t>
      </w:r>
    </w:p>
    <w:p>
      <w:pPr>
        <w:pStyle w:val="Heading1"/>
      </w:pPr>
      <w:r>
        <w:t>Open Verification Items</w:t>
      </w:r>
    </w:p>
    <w:p>
      <w:pPr>
        <w:pStyle w:val="ListBullet"/>
      </w:pPr>
      <w:r>
        <w:rPr>
          <w:rFonts w:ascii="Calibri" w:hAnsi="Calibri" w:eastAsia="Calibri"/>
          <w:b w:val="0"/>
          <w:i w:val="0"/>
          <w:color w:val="1A1A1A"/>
          <w:sz w:val="22"/>
        </w:rPr>
        <w:t>Signed and entered summary-judgment order and docket entry.</w:t>
      </w:r>
    </w:p>
    <w:p>
      <w:pPr>
        <w:pStyle w:val="ListBullet"/>
      </w:pPr>
      <w:r>
        <w:rPr>
          <w:rFonts w:ascii="Calibri" w:hAnsi="Calibri" w:eastAsia="Calibri"/>
          <w:b w:val="0"/>
          <w:i w:val="0"/>
          <w:color w:val="1A1A1A"/>
          <w:sz w:val="22"/>
        </w:rPr>
        <w:t>Refinance note, deed of trust, closing disclosure, and exact refinance date.</w:t>
      </w:r>
    </w:p>
    <w:p>
      <w:pPr>
        <w:pStyle w:val="ListBullet"/>
      </w:pPr>
      <w:r>
        <w:rPr>
          <w:rFonts w:ascii="Calibri" w:hAnsi="Calibri" w:eastAsia="Calibri"/>
          <w:b w:val="0"/>
          <w:i w:val="0"/>
          <w:color w:val="1A1A1A"/>
          <w:sz w:val="22"/>
        </w:rPr>
        <w:t>Current mortgage statement confirming the $178,692 July 3, 2026 figure.</w:t>
      </w:r>
    </w:p>
    <w:p>
      <w:pPr>
        <w:pStyle w:val="ListBullet"/>
      </w:pPr>
      <w:r>
        <w:rPr>
          <w:rFonts w:ascii="Calibri" w:hAnsi="Calibri" w:eastAsia="Calibri"/>
          <w:b w:val="0"/>
          <w:i w:val="0"/>
          <w:color w:val="1A1A1A"/>
          <w:sz w:val="22"/>
        </w:rPr>
        <w:t>HELOC payoff and cure records resolving whether $6,267 is included in $28,267.</w:t>
      </w:r>
    </w:p>
    <w:p>
      <w:pPr>
        <w:pStyle w:val="ListBullet"/>
      </w:pPr>
      <w:r>
        <w:rPr>
          <w:rFonts w:ascii="Calibri" w:hAnsi="Calibri" w:eastAsia="Calibri"/>
          <w:b w:val="0"/>
          <w:i w:val="0"/>
          <w:color w:val="1A1A1A"/>
          <w:sz w:val="22"/>
        </w:rPr>
        <w:t>Support for the $250,000 sale price, $40,000-$50,000 rehab range, commission, and closing costs.</w:t>
      </w:r>
    </w:p>
    <w:p>
      <w:pPr>
        <w:pStyle w:val="ListBullet"/>
      </w:pPr>
      <w:r>
        <w:rPr>
          <w:rFonts w:ascii="Calibri" w:hAnsi="Calibri" w:eastAsia="Calibri"/>
          <w:b w:val="0"/>
          <w:i w:val="0"/>
          <w:color w:val="1A1A1A"/>
          <w:sz w:val="22"/>
        </w:rPr>
        <w:t>April 9, 2025 offer email and any attachment.</w:t>
      </w:r>
    </w:p>
    <w:p>
      <w:pPr>
        <w:pStyle w:val="ListBullet"/>
      </w:pPr>
      <w:r>
        <w:rPr>
          <w:rFonts w:ascii="Calibri" w:hAnsi="Calibri" w:eastAsia="Calibri"/>
          <w:b w:val="0"/>
          <w:i w:val="0"/>
          <w:color w:val="1A1A1A"/>
          <w:sz w:val="22"/>
        </w:rPr>
        <w:t>Operative lease and professional lease-buyout valuation.</w:t>
      </w:r>
    </w:p>
    <w:p>
      <w:pPr>
        <w:pStyle w:val="ListBullet"/>
      </w:pPr>
      <w:r>
        <w:rPr>
          <w:rFonts w:ascii="Calibri" w:hAnsi="Calibri" w:eastAsia="Calibri"/>
          <w:b w:val="0"/>
          <w:i w:val="0"/>
          <w:color w:val="1A1A1A"/>
          <w:sz w:val="22"/>
        </w:rPr>
        <w:t>Deed execution, notarization, and recording page resolving November 28 versus November 30.</w:t>
      </w:r>
    </w:p>
    <w:p>
      <w:pPr>
        <w:pStyle w:val="ListBullet"/>
      </w:pPr>
      <w:r>
        <w:rPr>
          <w:rFonts w:ascii="Calibri" w:hAnsi="Calibri" w:eastAsia="Calibri"/>
          <w:b w:val="0"/>
          <w:i w:val="0"/>
          <w:color w:val="1A1A1A"/>
          <w:sz w:val="22"/>
        </w:rPr>
        <w:t>Title search confirming all Rosebrooks liens and separating the Poyner/Rose documents.</w:t>
      </w:r>
    </w:p>
    <w:p>
      <w:pPr>
        <w:pStyle w:val="Heading1"/>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2026-07-29  |  Version 1.0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2026-07-29  |  Version 1.0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2026-07-29  |  Version 1.0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2013-12-23T23:15:00Z</dcterms:modified>
  <cp:category/>
</cp:coreProperties>
</file>