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Creditworthiness Evaluation Report</w:t>
      </w:r>
    </w:p>
    <w:p>
      <w:pPr>
        <w:jc w:val="center"/>
      </w:pPr>
      <w:r>
        <w:rPr>
          <w:b/>
          <w:sz w:val="28"/>
        </w:rPr>
        <w:t>320 Rose Pl - Ever Amarildo Cardoza Bolanos</w:t>
      </w:r>
    </w:p>
    <w:p>
      <w:pPr>
        <w:jc w:val="center"/>
      </w:pPr>
      <w:r>
        <w:rPr>
          <w:i/>
        </w:rPr>
        <w:t>Conditional Evidence-Mode Report v10</w:t>
      </w:r>
    </w:p>
    <w:p>
      <w:pPr>
        <w:jc w:val="center"/>
      </w:pPr>
      <w:r>
        <w:t>Report Date: June 9, 2026</w:t>
      </w:r>
    </w:p>
    <w:p>
      <w:pPr>
        <w:jc w:val="center"/>
      </w:pPr>
      <w:r>
        <w:t>Prepared by Investment Services, LLC for Sell Your Home review</w:t>
      </w:r>
    </w:p>
    <w:p/>
    <w:p>
      <w:pPr>
        <w:pStyle w:val="Heading1"/>
      </w:pPr>
      <w:r>
        <w:t>Executive Decision</w:t>
      </w:r>
    </w:p>
    <w:p>
      <w:r>
        <w:t>Current result: conditional approval / conditional reconsideration supportable for continued Contract for Deed preparation, but the buyer is not final approval-ready from current verified evidence alone.</w:t>
      </w:r>
    </w:p>
    <w:p>
      <w:r>
        <w:t>The file contains strong compensating factors: clean reported credit and background results, related-company rent history, active Matthew Flooring LLC business records, Secretary of State evidence of Ever A. Cardoza Bolanos as managing member, twelve paid customer receipts averaging approximately $9,410.19 per month, and a signed cash-reserves affidavit showing observed cash and receivables. Those factors support continuing the CFD package process, subject to the conditions below.</w:t>
      </w:r>
    </w:p>
    <w:p>
      <w:r>
        <w:t>Do not record this as unconditional approval unless final signed/notarized affidavits, funds-to-close handling, legal-name/role confirmation, and legal/compliance review are completed and accepted.</w:t>
      </w:r>
    </w:p>
    <w:p>
      <w:pPr>
        <w:pStyle w:val="Heading1"/>
      </w:pPr>
      <w:r>
        <w:t>Source Basis</w:t>
      </w:r>
    </w:p>
    <w:p>
      <w:pPr>
        <w:pStyle w:val="ListBullet"/>
      </w:pPr>
      <w:r>
        <w:t>File-based CFD kickoff: C:\Codex\Wiki Files\Project Rooms\Contract for Deed\transactions\320 Rose Pl - Ever Cardoza\handoffs\credit-worthiness\CWE Kickoff.md</w:t>
      </w:r>
    </w:p>
    <w:p>
      <w:pPr>
        <w:pStyle w:val="ListBullet"/>
      </w:pPr>
      <w:r>
        <w:t>Live project spreadsheet: C:\Users\wesbr\Buy Your Home\Buy Your Home - Property\28_Project Management - 320 Rose Pl.xlsm, Docs worksheet.</w:t>
      </w:r>
    </w:p>
    <w:p>
      <w:pPr>
        <w:pStyle w:val="ListBullet"/>
      </w:pPr>
      <w:r>
        <w:t>Buyer source folder: C:\Users\wesbr\Buy Your Home\Buy Your Home - Property\28-SYH-320 Rose Pl\Selling\Ever Cordoza</w:t>
      </w:r>
    </w:p>
    <w:p>
      <w:pPr>
        <w:pStyle w:val="ListBullet"/>
      </w:pPr>
      <w:r>
        <w:t>Project-room source copy: C:\Codex\Wiki Files\Project Rooms\Credit Worthiness Evaluator\sources\320 Rose Pl - Ever Cardoza</w:t>
      </w:r>
    </w:p>
    <w:p>
      <w:pPr>
        <w:pStyle w:val="ListBullet"/>
      </w:pPr>
      <w:r>
        <w:t>Prior approval-scenario reports reviewed only as background because they depend on assumptions that are not verified as final evidence in this run.</w:t>
      </w:r>
    </w:p>
    <w:p>
      <w:pPr>
        <w:pStyle w:val="ListBullet"/>
      </w:pPr>
      <w:r>
        <w:t>No buyer, seller, payment, affidavit, or transaction facts were taken from the delegation prompt as source facts.</w:t>
      </w:r>
    </w:p>
    <w:p>
      <w:r>
        <w:t>Source cutoff: Buyer folder files available at the June 9, 2026 refresh; prior approval-scenario reports treated as background only.</w:t>
      </w:r>
    </w:p>
    <w:p>
      <w:pPr>
        <w:pStyle w:val="Heading1"/>
      </w:pPr>
      <w:r>
        <w:t>Transaction Snapshot From Docs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Current file value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320 Rose Pl, Wendell, NC 27591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Ever Amarildo Cardoza Bolanos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2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Maria Geraldine Sarmiento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address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4121 Tensity Dr, Raleigh, NC 27604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Seller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Sell Your Home, LLC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Purchase price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$346,500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Earnest money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Down payment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$20,790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Loan amount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$325,710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Monthly payment1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$2,504.43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Loan start / 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2026-07-01 / 2056-06-01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County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Wake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Trustee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Investment Services LLC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Manager field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Al Bennett</w:t>
            </w:r>
          </w:p>
        </w:tc>
      </w:tr>
    </w:tbl>
    <w:p>
      <w:pPr>
        <w:pStyle w:val="Heading1"/>
      </w:pPr>
      <w:r>
        <w:t>Buyer Identity And Roles</w:t>
      </w:r>
    </w:p>
    <w:p>
      <w:r>
        <w:t>Ever Amarildo Cardoza Bolanos is Buyer 1 per the live project spreadsheet. The passport image supports the longer legal-style name, while Zillow materials use the shorter name Ever Amarildo Cardoza. Use the spreadsheet/passport name unless counsel or updated ID documents resolve the signing name differently.</w:t>
      </w:r>
    </w:p>
    <w:p>
      <w:r>
        <w:t>Maria Geraldine Sarmiento is Buyer 2 per the live project spreadsheet. The passport/source file identifies Maria Geraldina Sarmiento, creating a Geraldine/Geraldina spelling conflict. The final legal spelling and whether she signs as buyer, co-obligor, spouse, or another role must be confirmed before closing documents are finalized.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Zillow applicant details, credit report, and background check.</w:t>
      </w:r>
    </w:p>
    <w:p>
      <w:pPr>
        <w:pStyle w:val="ListBullet"/>
      </w:pPr>
      <w:r>
        <w:t>Personal bank statements for 2025 only.</w:t>
      </w:r>
    </w:p>
    <w:p>
      <w:pPr>
        <w:pStyle w:val="ListBullet"/>
      </w:pPr>
      <w:r>
        <w:t>Matthew Flooring LLC business bank statements from January 2025 through May 2026.</w:t>
      </w:r>
    </w:p>
    <w:p>
      <w:pPr>
        <w:pStyle w:val="ListBullet"/>
      </w:pPr>
      <w:r>
        <w:t>Matthew Flooring LLC Secretary of State annual report filed 2026-04-09.</w:t>
      </w:r>
    </w:p>
    <w:p>
      <w:pPr>
        <w:pStyle w:val="ListBullet"/>
      </w:pPr>
      <w:r>
        <w:t>Buy Your Home rent payment verification letter dated 2026-06-05.</w:t>
      </w:r>
    </w:p>
    <w:p>
      <w:pPr>
        <w:pStyle w:val="ListBullet"/>
      </w:pPr>
      <w:r>
        <w:t>Ever and Maria passport images.</w:t>
      </w:r>
    </w:p>
    <w:p>
      <w:pPr>
        <w:pStyle w:val="ListBullet"/>
      </w:pPr>
      <w:r>
        <w:t>Cash reserves affidavit PDF and DOCX.</w:t>
      </w:r>
    </w:p>
    <w:p>
      <w:pPr>
        <w:pStyle w:val="ListBullet"/>
      </w:pPr>
      <w:r>
        <w:t>Twelve paid customer receipt PDFs dated 2025-06-13 through 2026-05-16.</w:t>
      </w:r>
    </w:p>
    <w:p>
      <w:pPr>
        <w:pStyle w:val="ListBullet"/>
      </w:pPr>
      <w:r>
        <w:t>Two open receivable PDFs dated 2026-06-07 and 2026-06-08.</w:t>
      </w:r>
    </w:p>
    <w:p>
      <w:pPr>
        <w:pStyle w:val="ListBullet"/>
      </w:pPr>
      <w:r>
        <w:t>Four 2026-06-08 affidavit drafts covering related-company rent history, cash reserves and receivables observation, receipt package review and acceptance, and business judgment approval direction.</w:t>
      </w:r>
    </w:p>
    <w:p>
      <w:pPr>
        <w:pStyle w:val="Heading1"/>
      </w:pPr>
      <w:r>
        <w:t>Credit And Background</w:t>
      </w:r>
    </w:p>
    <w:p>
      <w:r>
        <w:t>The Zillow screening materials report a VantageScore 4.0 score of 706, 100 percent on-time payment history, no collections, no bankruptcies, and no reported housing court or criminal records. These are strong positive factors for a seller-financed tenant-buyer review.</w:t>
      </w:r>
    </w:p>
    <w:p>
      <w:pPr>
        <w:pStyle w:val="Heading1"/>
      </w:pPr>
      <w:r>
        <w:t>Income Analysis</w:t>
      </w:r>
    </w:p>
    <w:p>
      <w:r>
        <w:t>The applicant-stated income is $9,500 per month. The file contains evidence of active self-employment/business activity but does not contain tax returns, a CPA letter, a profit-and-loss statement, payroll records, or a complete owner-draw analysis. For that reason, gross business deposits and gross receipts should not be treated as fully verified borrower-level net income.</w:t>
      </w:r>
    </w:p>
    <w:p>
      <w:r>
        <w:t>Matthew Flooring LLC statements show active business cash flow through May 2026. Prior project-room analysis of 16 unique business statements showed total deposits/credits of $434,462.90, average deposits/credits of $27,153.93 per month, total withdrawals/debits of $433,300.52, and average monthly net account increase of $72.65. For January through May 2026, average deposits/credits were $24,631.93 per month, average withdrawals/debits were $24,103.11, and average monthly net account increase was $528.82. The May 31, 2026 business ending balance was $5,058.11.</w:t>
      </w:r>
    </w:p>
    <w:p>
      <w:r>
        <w:t>The twelve paid customer receipt PDFs total $112,922.25 by written receipt totals, averaging $9,410.19 per month over the twelve dated paid receipts. This materially supports the existence of substantial gross customer receipts near the stated $9,500/month income level, including receipts that may not have flowed through the business checking account. It remains gross-receipt support, not audited or CPA-verified net income.</w:t>
      </w:r>
    </w:p>
    <w:p>
      <w:pPr>
        <w:pStyle w:val="Heading1"/>
      </w:pPr>
      <w:r>
        <w:t>Debt And Payment-Ratio Analysis</w:t>
      </w:r>
    </w:p>
    <w:p>
      <w:r>
        <w:t>The credit report shows estimated monthly debt payments of $2,162 and total debt of $86,790, including several open auto loans. Using the current spreadsheet monthly payment of $2,504.43 and stated/supported gross receipts of $9,500/month, the housing ratio is approximately 26.4 percent. Including estimated credit-report debt payments, the back-end ratio is approximately 49.1 percent. The back-end ratio is high and requires compensating factors and management/legal acceptance before approval can be treated as final.</w:t>
      </w:r>
    </w:p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ready access to $10,000 in El Salvador, for stated reserves of $48,000. The notary block is blank.</w:t>
      </w:r>
    </w:p>
    <w:p>
      <w:r>
        <w:t>The $24,000 counted cash appears sufficient to cover the $20,790 down payment before closing costs if the affidavit and closing process accept that proof. It does not by itself prove the $6,000 earnest money, all closing costs, or post-closing reserves. The $14,000 receivables and $10,000 foreign-funds statement are additional support but remain conditional until collected, transferred, or accepted through final signed/notarized affidavit and closing review.</w:t>
      </w:r>
    </w:p>
    <w:p>
      <w:pPr>
        <w:pStyle w:val="Heading1"/>
      </w:pPr>
      <w:r>
        <w:t>Compensating Factors</w:t>
      </w:r>
    </w:p>
    <w:p>
      <w:pPr>
        <w:pStyle w:val="ListBullet"/>
      </w:pPr>
      <w:r>
        <w:t>Clean reported credit/background profile and 706 VantageScore.</w:t>
      </w:r>
    </w:p>
    <w:p>
      <w:pPr>
        <w:pStyle w:val="ListBullet"/>
      </w:pPr>
      <w:r>
        <w:t>Documented related-company rent history showing timely rent at 4121 Tensity Dr from July 2025 through June 2026.</w:t>
      </w:r>
    </w:p>
    <w:p>
      <w:pPr>
        <w:pStyle w:val="ListBullet"/>
      </w:pPr>
      <w:r>
        <w:t>Rent history is directly known to a related company/current landlord, but it is not independent third-party landlord verification.</w:t>
      </w:r>
    </w:p>
    <w:p>
      <w:pPr>
        <w:pStyle w:val="ListBullet"/>
      </w:pPr>
      <w:r>
        <w:t>Business role supported by Secretary of State annual report showing Ever A. Cardoza Bolanos as registered agent and managing member of Matthew Flooring LLC.</w:t>
      </w:r>
    </w:p>
    <w:p>
      <w:pPr>
        <w:pStyle w:val="ListBullet"/>
      </w:pPr>
      <w:r>
        <w:t>Paid receipts support gross receipts close to the stated income level.</w:t>
      </w:r>
    </w:p>
    <w:p>
      <w:pPr>
        <w:pStyle w:val="ListBullet"/>
      </w:pPr>
      <w:r>
        <w:t>Observed cash and receivable support, subject to final affidavit/notary and closing acceptance.</w:t>
      </w:r>
    </w:p>
    <w:p>
      <w:pPr>
        <w:pStyle w:val="Heading1"/>
      </w:pPr>
      <w:r>
        <w:t>Conditions To Approval</w:t>
      </w:r>
    </w:p>
    <w:p>
      <w:pPr>
        <w:pStyle w:val="ListNumber"/>
      </w:pPr>
      <w:r>
        <w:t>Final signed/notarized versions of the related-company rent history affidavit, cash reserves and receivables observation affidavit, receipt package review and acceptance affidavit, and business judgment approval direction affidavit, if those documents are relied on.</w:t>
      </w:r>
    </w:p>
    <w:p>
      <w:pPr>
        <w:pStyle w:val="ListNumber"/>
      </w:pPr>
      <w:r>
        <w:t>Closing-approved proof of earnest money, down payment, closing costs, and post-closing reserves.</w:t>
      </w:r>
    </w:p>
    <w:p>
      <w:pPr>
        <w:pStyle w:val="ListNumber"/>
      </w:pPr>
      <w:r>
        <w:t>Resolution of Maria Geraldine/Geraldina Sarmiento spelling and signing role.</w:t>
      </w:r>
    </w:p>
    <w:p>
      <w:pPr>
        <w:pStyle w:val="ListNumber"/>
      </w:pPr>
      <w:r>
        <w:t>Final acceptance by management/counsel of gross-receipt support in place of stronger tax/CPA income documentation.</w:t>
      </w:r>
    </w:p>
    <w:p>
      <w:pPr>
        <w:pStyle w:val="ListNumber"/>
      </w:pPr>
      <w:r>
        <w:t>Attorney review of North Carolina Contract for Deed and seller-financing compliance, including Regulation Z/Dodd-Frank and any adverse-action or conditional-approval notice issue.</w:t>
      </w:r>
    </w:p>
    <w:p>
      <w:pPr>
        <w:pStyle w:val="ListNumber"/>
      </w:pPr>
      <w:r>
        <w:t>Final payment/escrow breakdown using the live spreadsheet value of $2,504.43 unless Wes or counsel updates the spreadsheet.</w:t>
      </w:r>
    </w:p>
    <w:p>
      <w:pPr>
        <w:pStyle w:val="Heading1"/>
      </w:pPr>
      <w:r>
        <w:t>Missing Documents Or Open File Gaps</w:t>
      </w:r>
    </w:p>
    <w:p>
      <w:pPr>
        <w:pStyle w:val="ListBullet"/>
      </w:pPr>
      <w:r>
        <w:t>Current 2026 personal bank statements.</w:t>
      </w:r>
    </w:p>
    <w:p>
      <w:pPr>
        <w:pStyle w:val="ListBullet"/>
      </w:pPr>
      <w:r>
        <w:t>Tax returns, CPA letter, profit-and-loss statement, payroll records, or owner-draw analysis, if stricter self-employment income proof is required.</w:t>
      </w:r>
    </w:p>
    <w:p>
      <w:pPr>
        <w:pStyle w:val="ListBullet"/>
      </w:pPr>
      <w:r>
        <w:t>Proof that the two June 2026 receivables totaling $14,000 were collected, if counted as income or liquid reserves.</w:t>
      </w:r>
    </w:p>
    <w:p>
      <w:pPr>
        <w:pStyle w:val="ListBullet"/>
      </w:pPr>
      <w:r>
        <w:t>Final funds-to-close evidence for earnest money, down payment, closing costs, and reserves.</w:t>
      </w:r>
    </w:p>
    <w:p>
      <w:pPr>
        <w:pStyle w:val="ListBullet"/>
      </w:pPr>
      <w:r>
        <w:t>Final signed/notarized approval-support affidavits.</w:t>
      </w:r>
    </w:p>
    <w:p>
      <w:pPr>
        <w:pStyle w:val="ListBullet"/>
      </w:pPr>
      <w:r>
        <w:t>Final legal-name and signing-role confirmation for Maria.</w:t>
      </w:r>
    </w:p>
    <w:p>
      <w:pPr>
        <w:pStyle w:val="Heading1"/>
      </w:pPr>
      <w:r>
        <w:t>Legal And Compliance Review Items</w:t>
      </w:r>
    </w:p>
    <w:p>
      <w:r>
        <w:t>This report is a creditworthiness and business-file review, not legal advice. Counsel should review the North Carolina Contract for Deed structure, seller-financing status, Regulation Z/Dodd-Frank issues, trust/seller authority, notary/signature blocks, adverse-action or conditional-approval notices, and whether any seller-financer exclusion applies to the actual seller and transaction structure.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Signer/capacity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CFD action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Related-Company Rent Payment History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tenant payment history with Buy Your Home, LLC and disclose related-company nature.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Buy Your Home, LLC manager or authorized representative.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Create/finalize if rent-history exception is relied on.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Cash Reserves and Receivables Observation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Support funds-to-close/reserves through observed cash, receivables, and stated foreign funds.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Observing person/entity representative with exact capacity.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Signed PDF present but notary block blank; later draft present.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Obtain notarized final or substitute closing-approved proof.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Receipt Package Review and Acceptance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acceptance of paid receipt package as gross-receipt support.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Sell Your Home, LLC by authorized representative; prior direction modeled through Investment Services LLC manager Al Bennett.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Confirm authority/signature block and include final if relied on.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Business Judgment Approval Direction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decision to proceed despite nonstandard income proof and high back-end ratio.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Sell Your Home, LLC by authorized representative; prior direction modeled through Investment Services LLC manager Al Bennett.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Include final only after authority and compliance review.</w:t>
            </w:r>
          </w:p>
        </w:tc>
      </w:tr>
    </w:tbl>
    <w:p>
      <w:pPr>
        <w:pStyle w:val="Heading1"/>
      </w:pPr>
      <w:r>
        <w:t>Final Recommendation</w:t>
      </w:r>
    </w:p>
    <w:p>
      <w:r>
        <w:t>Conditional approval / conditional reconsideration is supportable for continued CFD preparation. The buyer should not be treated as unconditionally approved until the listed conditions are completed and accepted. If the missing affidavits, proof-of-funds, legal-name/role confirmations, and legal/compliance items are not completed, the file should remain not approval-ready.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Rose Ever Amarildo Cardoza Bolanos - Creditworthiness Evaluation Report - Conditional v10</dc:title>
  <dc:subject/>
  <dc:creator>Investment Services,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