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1.3</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r>
        <w:rPr>
          <w:rFonts w:ascii="Calibri" w:hAnsi="Calibri" w:eastAsia="Calibri"/>
          <w:b w:val="0"/>
          <w:i w:val="0"/>
          <w:color w:val="1A1A1A"/>
        </w:rPr>
        <w:t xml:space="preserve">Jenny's figures support two different financial presentations. A current sale cash-flow calculation produces an estimated </w:t>
      </w:r>
      <w:r>
        <w:rPr>
          <w:rFonts w:ascii="Calibri" w:hAnsi="Calibri" w:eastAsia="Calibri"/>
          <w:b/>
          <w:i w:val="0"/>
          <w:color w:val="1A1A1A"/>
        </w:rPr>
        <w:t>$7,308 to $17,308</w:t>
      </w:r>
      <w:r>
        <w:rPr>
          <w:rFonts w:ascii="Calibri" w:hAnsi="Calibri" w:eastAsia="Calibri"/>
          <w:b w:val="0"/>
          <w:i w:val="0"/>
          <w:color w:val="1A1A1A"/>
        </w:rPr>
        <w:t xml:space="preserve"> before historical acquisition/cure costs and litigation expenses. A broader economic calculation becomes negative after including historical HELOC payoff/cure amounts, but the source record contains conflicting figures and a possible overlap between the $6,267 reinstatement and $28,267 payoff. Those amounts must be reconciled before mediation.</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r>
        <w:rPr>
          <w:rFonts w:ascii="Calibri" w:hAnsi="Calibri" w:eastAsia="Calibri"/>
          <w:b w:val="0"/>
          <w:i w:val="0"/>
          <w:color w:val="1A1A1A"/>
        </w:rPr>
        <w:t>The defense raised potential Rule 11 concerns because claims allegedly relied on a power of attorney viewed as irrelevant to the sale. In plain terms, the concern is that the factual or legal basis for relying on that document may have been insufficient. This is a litigation position, not a finding that plaintiff or counsel violated Rule 11 or that sanctions will be imposed.</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r>
        <w:rPr>
          <w:rFonts w:ascii="Calibri" w:hAnsi="Calibri" w:eastAsia="Calibri"/>
          <w:b w:val="0"/>
          <w:i w:val="0"/>
          <w:color w:val="1A1A1A"/>
        </w:rP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 Those points support the defense view but are not a judicial determination.</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Natalie's account is difficult to reconcile with Huston's contemporaneous record and testimony. The record does not conclusively prove what exact foreclosure information she received.</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rFonts w:ascii="Calibri" w:hAnsi="Calibri" w:eastAsia="Calibri"/>
          <w:b/>
          <w:color w:val="19324D"/>
          <w:sz w:val="20"/>
        </w:rPr>
        <w:t>RECOMMENDED WORDING. The disinterested-status assertion is difficult to reconcile with the will's direct benefit to Natalie, her nomination as personal representative, and her participation in bringing Brynda to Huston's office. This creates a legitimate credibility and process issue. The record reviewed does not by itself establish that the petition statement was knowingly false, and vacatur alone is not proof of dishonesty or improper purpose.</w:t>
      </w:r>
      <w:r>
        <w:rPr>
          <w:rFonts w:ascii="Calibri" w:hAnsi="Calibri" w:eastAsia="Calibri"/>
          <w:b w:val="0"/>
          <w:i w:val="0"/>
          <w:color w:val="1A1A1A"/>
          <w:sz w:val="20"/>
        </w:rPr>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Current Sale Cash Flow</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i w:val="0"/>
                <w:color w:val="1A1A1A"/>
                <w:sz w:val="19"/>
              </w:rPr>
              <w:t>Estimated cash remaining at sale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$17,308</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$7,308</w:t>
            </w:r>
          </w:p>
        </w:tc>
      </w:tr>
    </w:tbl>
    <w:p>
      <w:pPr>
        <w:spacing w:after="40"/>
      </w:pPr>
    </w:p>
    <w:p>
      <w:r>
        <w:rPr>
          <w:rFonts w:ascii="Calibri" w:hAnsi="Calibri" w:eastAsia="Calibri"/>
          <w:b w:val="0"/>
          <w:i w:val="0"/>
          <w:color w:val="1A1A1A"/>
        </w:rPr>
        <w:t>These figures alone do not produce a negative sale result. They estimate cash remaining after the current lien and sale/rehab costs. Historical acquisition costs and litigation losses must be shown separately to explain the overall negative economic result.</w:t>
      </w:r>
    </w:p>
    <w:p>
      <w:pPr>
        <w:pStyle w:val="Heading2"/>
      </w:pPr>
      <w:r>
        <w:t>Historical HELOC And Cure Costs</w:t>
      </w:r>
    </w:p>
    <w:p>
      <w:r>
        <w:rPr>
          <w:rFonts w:ascii="Calibri" w:hAnsi="Calibri" w:eastAsia="Calibri"/>
          <w:b w:val="0"/>
          <w:i w:val="0"/>
          <w:color w:val="1A1A1A"/>
        </w:rPr>
        <w:t>Jenny's notes list a $28,267 HELOC payoff and a $6,267 reinstatement/cure. The record must establish whether the cure is included in the payoff.</w:t>
      </w:r>
    </w:p>
    <w:p>
      <w:pPr>
        <w:pStyle w:val="ListBullet"/>
      </w:pPr>
      <w:r>
        <w:rPr>
          <w:rFonts w:ascii="Calibri" w:hAnsi="Calibri" w:eastAsia="Calibri"/>
          <w:b w:val="0"/>
          <w:i w:val="0"/>
          <w:color w:val="1A1A1A"/>
          <w:sz w:val="22"/>
        </w:rPr>
        <w:t xml:space="preserve">If the $6,267 is included in $28,267, subtracting the historical amount from estimated sale cash produces approximately </w:t>
      </w:r>
      <w:r>
        <w:rPr>
          <w:rFonts w:ascii="Calibri" w:hAnsi="Calibri" w:eastAsia="Calibri"/>
          <w:b/>
          <w:i w:val="0"/>
          <w:color w:val="1A1A1A"/>
          <w:sz w:val="22"/>
        </w:rPr>
        <w:t>negative $10,959 to negative $20,959</w:t>
      </w:r>
      <w:r>
        <w:rPr>
          <w:rFonts w:ascii="Calibri" w:hAnsi="Calibri" w:eastAsia="Calibri"/>
          <w:b w:val="0"/>
          <w:i w:val="0"/>
          <w:color w:val="1A1A1A"/>
          <w:sz w:val="22"/>
        </w:rPr>
        <w:t>.</w:t>
      </w:r>
    </w:p>
    <w:p>
      <w:pPr>
        <w:pStyle w:val="ListBullet"/>
      </w:pPr>
      <w:r>
        <w:rPr>
          <w:rFonts w:ascii="Calibri" w:hAnsi="Calibri" w:eastAsia="Calibri"/>
          <w:b w:val="0"/>
          <w:i w:val="0"/>
          <w:color w:val="1A1A1A"/>
          <w:sz w:val="22"/>
        </w:rPr>
        <w:t xml:space="preserve">If the $6,267 is additional, the result is approximately </w:t>
      </w:r>
      <w:r>
        <w:rPr>
          <w:rFonts w:ascii="Calibri" w:hAnsi="Calibri" w:eastAsia="Calibri"/>
          <w:b/>
          <w:i w:val="0"/>
          <w:color w:val="1A1A1A"/>
          <w:sz w:val="22"/>
        </w:rPr>
        <w:t>negative $17,226 to negative $27,226</w:t>
      </w:r>
      <w:r>
        <w:rPr>
          <w:rFonts w:ascii="Calibri" w:hAnsi="Calibri" w:eastAsia="Calibri"/>
          <w:b w:val="0"/>
          <w:i w:val="0"/>
          <w:color w:val="1A1A1A"/>
          <w:sz w:val="22"/>
        </w:rPr>
        <w:t>.</w:t>
      </w:r>
    </w:p>
    <w:p>
      <w:r>
        <w:rPr>
          <w:rFonts w:ascii="Calibri" w:hAnsi="Calibri" w:eastAsia="Calibri"/>
          <w:b w:val="0"/>
          <w:i w:val="0"/>
          <w:color w:val="1A1A1A"/>
        </w:rPr>
        <w:t>The litigation materials use slightly different figures: $22,257.08 total purchase consideration, including $100 earnest money, plus a $6,266.78 cure payment, or $28,523.86 if additive. Counsel should reconcile the purchase agreement, payoff statement, cure receipt, and Jenny's figures.</w:t>
      </w:r>
    </w:p>
    <w:p>
      <w:pPr>
        <w:pStyle w:val="Heading2"/>
      </w:pPr>
      <w:r>
        <w:t>Avoiding Double Counting</w:t>
      </w:r>
    </w:p>
    <w:p>
      <w:r>
        <w:rPr>
          <w:rFonts w:ascii="Calibri" w:hAnsi="Calibri" w:eastAsia="Calibri"/>
          <w:b w:val="0"/>
          <w:i w:val="0"/>
          <w:color w:val="1A1A1A"/>
        </w:rPr>
        <w:t>The current mortgage payoff should be deducted from sale proceeds because it is a lien. If mortgage proceeds funded legal defense, the same legal spending should not also be deducted from that sale table without a tracing adjustment.</w:t>
      </w:r>
    </w:p>
    <w:p>
      <w:r>
        <w:rPr>
          <w:rFonts w:ascii="Calibri" w:hAnsi="Calibri" w:eastAsia="Calibri"/>
          <w:b w:val="0"/>
          <w:i w:val="0"/>
          <w:color w:val="1A1A1A"/>
        </w:rPr>
        <w:t>For mediation, use three ledgers:</w:t>
      </w:r>
    </w:p>
    <w:p>
      <w:pPr>
        <w:pStyle w:val="ListNumber"/>
        <w:numPr>
          <w:ilvl w:val="0"/>
          <w:numId w:val="10"/>
        </w:numPr>
      </w:pPr>
      <w:r>
        <w:rPr>
          <w:rFonts w:ascii="Calibri" w:hAnsi="Calibri" w:eastAsia="Calibri"/>
          <w:b/>
          <w:i w:val="0"/>
          <w:color w:val="1A1A1A"/>
          <w:sz w:val="22"/>
        </w:rPr>
        <w:t>Property cash flow:</w:t>
      </w:r>
      <w:r>
        <w:rPr>
          <w:rFonts w:ascii="Calibri" w:hAnsi="Calibri" w:eastAsia="Calibri"/>
          <w:b w:val="0"/>
          <w:i w:val="0"/>
          <w:color w:val="1A1A1A"/>
          <w:sz w:val="22"/>
        </w:rPr>
        <w:t xml:space="preserve"> sale price, lien payoff, commission, rehab, and closing costs.</w:t>
      </w:r>
    </w:p>
    <w:p>
      <w:pPr>
        <w:pStyle w:val="ListNumber"/>
        <w:numPr>
          <w:ilvl w:val="0"/>
          <w:numId w:val="10"/>
        </w:numPr>
      </w:pPr>
      <w:r>
        <w:rPr>
          <w:rFonts w:ascii="Calibri" w:hAnsi="Calibri" w:eastAsia="Calibri"/>
          <w:b/>
          <w:i w:val="0"/>
          <w:color w:val="1A1A1A"/>
          <w:sz w:val="22"/>
        </w:rPr>
        <w:t>Historical property investment:</w:t>
      </w:r>
      <w:r>
        <w:rPr>
          <w:rFonts w:ascii="Calibri" w:hAnsi="Calibri" w:eastAsia="Calibri"/>
          <w:b w:val="0"/>
          <w:i w:val="0"/>
          <w:color w:val="1A1A1A"/>
          <w:sz w:val="22"/>
        </w:rPr>
        <w:t xml:space="preserve"> acquisition consideration, HELOC payoff/cure,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r>
        <w:rPr>
          <w:rFonts w:ascii="Calibri" w:hAnsi="Calibri" w:eastAsia="Calibri"/>
          <w:b w:val="0"/>
          <w:i w:val="0"/>
          <w:color w:val="1A1A1A"/>
        </w:rPr>
        <w:t>The defense position is that legal expense has consumed the property's economic benefit and no settlement equity will remain after rehabilitation and sale. The current figures show only $7,308 to $17,308 of estimated sale cash before historical costs; they support that position only after the historical amounts are reconciled.</w:t>
      </w:r>
    </w:p>
    <w:p>
      <w:r>
        <w:rPr>
          <w:rFonts w:ascii="Calibri" w:hAnsi="Calibri" w:eastAsia="Calibri"/>
          <w:b w:val="0"/>
          <w:i w:val="0"/>
          <w:color w:val="1A1A1A"/>
        </w:rPr>
        <w:t>Collectability and bankruptcy are potential strategy considerations, not predetermined outcomes. 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rPr>
          <w:rFonts w:ascii="Calibri" w:hAnsi="Calibri" w:eastAsia="Calibri"/>
          <w:b w:val="0"/>
          <w:i w:val="0"/>
          <w:color w:val="1A1A1A"/>
          <w:sz w:val="22"/>
        </w:rPr>
        <w:t>Present reconciled mortgage, cure, rehab, carrying-cost, and legal-expense records. Do not use "negative profit" until the HELOC figures are reconciled.</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HELOC payoff and cure records resolving whether $6,267 is included in $28,267.</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1.3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1.3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1.3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2026-08-14T16:42:37Z</dcterms:modified>
  <cp:category/>
</cp:coreProperties>
</file>