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line="264" w:lineRule="auto"/>
        <w:pBdr>
          <w:bottom w:val="single" w:sz="8" w:space="6" w:color="2E74B5"/>
        </w:pBdr>
      </w:pPr>
      <w:r>
        <w:rPr>
          <w:rFonts w:ascii="Calibri" w:hAnsi="Calibri"/>
          <w:b/>
          <w:i w:val="0"/>
          <w:color w:val="000000"/>
          <w:sz w:val="40"/>
        </w:rPr>
        <w:t>UPDATED CREDITWORTHINESS EVALUATION REPORT</w:t>
      </w:r>
    </w:p>
    <w:p>
      <w:pPr>
        <w:spacing w:before="0" w:after="240" w:line="264" w:lineRule="auto"/>
      </w:pPr>
      <w:r>
        <w:rPr>
          <w:rFonts w:ascii="Calibri" w:hAnsi="Calibri"/>
          <w:b w:val="0"/>
          <w:i w:val="0"/>
          <w:color w:val="5A5A5A"/>
          <w:sz w:val="26"/>
        </w:rPr>
        <w:t>Affidavit Rerun for Ever Amarildo Cardoza Bolanos - 320 Rose Pl / Rose Place</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4680"/>
            <w:shd w:fill="F2F4F7"/>
            <w:tcW w:w="2300" w:type="dxa"/>
            <w:vAlign w:val="center"/>
            <w:tcMar>
              <w:top w:w="80" w:type="dxa"/>
              <w:bottom w:w="80" w:type="dxa"/>
              <w:start w:w="120" w:type="dxa"/>
              <w:end w:w="120" w:type="dxa"/>
            </w:tcMar>
          </w:tcPr>
          <w:p>
            <w:r>
              <w:t>Prepared by</w:t>
            </w:r>
          </w:p>
        </w:tc>
        <w:tc>
          <w:tcPr>
            <w:tcW w:type="dxa" w:w="4680"/>
            <w:tcW w:w="7060" w:type="dxa"/>
            <w:vAlign w:val="center"/>
            <w:tcMar>
              <w:top w:w="80" w:type="dxa"/>
              <w:bottom w:w="80" w:type="dxa"/>
              <w:start w:w="120" w:type="dxa"/>
              <w:end w:w="120" w:type="dxa"/>
            </w:tcMar>
          </w:tcPr>
          <w:p>
            <w:r>
              <w:t>Investment Services, LLC</w:t>
            </w:r>
          </w:p>
        </w:tc>
      </w:tr>
      <w:tr>
        <w:tc>
          <w:tcPr>
            <w:tcW w:type="dxa" w:w="4680"/>
            <w:shd w:fill="F2F4F7"/>
            <w:tcW w:w="2300" w:type="dxa"/>
            <w:vAlign w:val="center"/>
            <w:tcMar>
              <w:top w:w="80" w:type="dxa"/>
              <w:bottom w:w="80" w:type="dxa"/>
              <w:start w:w="120" w:type="dxa"/>
              <w:end w:w="120" w:type="dxa"/>
            </w:tcMar>
          </w:tcPr>
          <w:p>
            <w:r>
              <w:t>Report date</w:t>
            </w:r>
          </w:p>
        </w:tc>
        <w:tc>
          <w:tcPr>
            <w:tcW w:type="dxa" w:w="4680"/>
            <w:tcW w:w="7060" w:type="dxa"/>
            <w:vAlign w:val="center"/>
            <w:tcMar>
              <w:top w:w="80" w:type="dxa"/>
              <w:bottom w:w="80" w:type="dxa"/>
              <w:start w:w="120" w:type="dxa"/>
              <w:end w:w="120" w:type="dxa"/>
            </w:tcMar>
          </w:tcPr>
          <w:p>
            <w:r>
              <w:t>June 5, 2026</w:t>
            </w:r>
          </w:p>
        </w:tc>
      </w:tr>
      <w:tr>
        <w:tc>
          <w:tcPr>
            <w:tcW w:type="dxa" w:w="4680"/>
            <w:shd w:fill="F2F4F7"/>
            <w:tcW w:w="2300" w:type="dxa"/>
            <w:vAlign w:val="center"/>
            <w:tcMar>
              <w:top w:w="80" w:type="dxa"/>
              <w:bottom w:w="80" w:type="dxa"/>
              <w:start w:w="120" w:type="dxa"/>
              <w:end w:w="120" w:type="dxa"/>
            </w:tcMar>
          </w:tcPr>
          <w:p>
            <w:r>
              <w:t>Subject buyer</w:t>
            </w:r>
          </w:p>
        </w:tc>
        <w:tc>
          <w:tcPr>
            <w:tcW w:type="dxa" w:w="4680"/>
            <w:tcW w:w="7060" w:type="dxa"/>
            <w:vAlign w:val="center"/>
            <w:tcMar>
              <w:top w:w="80" w:type="dxa"/>
              <w:bottom w:w="80" w:type="dxa"/>
              <w:start w:w="120" w:type="dxa"/>
              <w:end w:w="120" w:type="dxa"/>
            </w:tcMar>
          </w:tcPr>
          <w:p>
            <w:r>
              <w:t>Ever Amarildo Cardoza Bolanos</w:t>
            </w:r>
          </w:p>
        </w:tc>
      </w:tr>
      <w:tr>
        <w:tc>
          <w:tcPr>
            <w:tcW w:type="dxa" w:w="4680"/>
            <w:shd w:fill="F2F4F7"/>
            <w:tcW w:w="2300" w:type="dxa"/>
            <w:vAlign w:val="center"/>
            <w:tcMar>
              <w:top w:w="80" w:type="dxa"/>
              <w:bottom w:w="80" w:type="dxa"/>
              <w:start w:w="120" w:type="dxa"/>
              <w:end w:w="120" w:type="dxa"/>
            </w:tcMar>
          </w:tcPr>
          <w:p>
            <w:r>
              <w:t>Property</w:t>
            </w:r>
          </w:p>
        </w:tc>
        <w:tc>
          <w:tcPr>
            <w:tcW w:type="dxa" w:w="4680"/>
            <w:tcW w:w="7060" w:type="dxa"/>
            <w:vAlign w:val="center"/>
            <w:tcMar>
              <w:top w:w="80" w:type="dxa"/>
              <w:bottom w:w="80" w:type="dxa"/>
              <w:start w:w="120" w:type="dxa"/>
              <w:end w:w="120" w:type="dxa"/>
            </w:tcMar>
          </w:tcPr>
          <w:p>
            <w:r>
              <w:t>320 Rose Pl / Rose Place</w:t>
            </w:r>
          </w:p>
        </w:tc>
      </w:tr>
      <w:tr>
        <w:tc>
          <w:tcPr>
            <w:tcW w:type="dxa" w:w="4680"/>
            <w:shd w:fill="F2F4F7"/>
            <w:tcW w:w="2300" w:type="dxa"/>
            <w:vAlign w:val="center"/>
            <w:tcMar>
              <w:top w:w="80" w:type="dxa"/>
              <w:bottom w:w="80" w:type="dxa"/>
              <w:start w:w="120" w:type="dxa"/>
              <w:end w:w="120" w:type="dxa"/>
            </w:tcMar>
          </w:tcPr>
          <w:p>
            <w:r>
              <w:t>Purpose</w:t>
            </w:r>
          </w:p>
        </w:tc>
        <w:tc>
          <w:tcPr>
            <w:tcW w:type="dxa" w:w="4680"/>
            <w:tcW w:w="7060" w:type="dxa"/>
            <w:vAlign w:val="center"/>
            <w:tcMar>
              <w:top w:w="80" w:type="dxa"/>
              <w:bottom w:w="80" w:type="dxa"/>
              <w:start w:w="120" w:type="dxa"/>
              <w:end w:w="120" w:type="dxa"/>
            </w:tcMar>
          </w:tcPr>
          <w:p>
            <w:r>
              <w:t>Evidence-mode ability-to-repay rerun after new cash-reserves affidavit and passport images</w:t>
            </w:r>
          </w:p>
        </w:tc>
      </w:tr>
      <w:tr>
        <w:tc>
          <w:tcPr>
            <w:tcW w:type="dxa" w:w="4680"/>
            <w:shd w:fill="F2F4F7"/>
            <w:tcW w:w="2300" w:type="dxa"/>
            <w:vAlign w:val="center"/>
            <w:tcMar>
              <w:top w:w="80" w:type="dxa"/>
              <w:bottom w:w="80" w:type="dxa"/>
              <w:start w:w="120" w:type="dxa"/>
              <w:end w:w="120" w:type="dxa"/>
            </w:tcMar>
          </w:tcPr>
          <w:p>
            <w:r>
              <w:t>Overall result</w:t>
            </w:r>
          </w:p>
        </w:tc>
        <w:tc>
          <w:tcPr>
            <w:tcW w:type="dxa" w:w="4680"/>
            <w:tcW w:w="7060" w:type="dxa"/>
            <w:vAlign w:val="center"/>
            <w:tcMar>
              <w:top w:w="80" w:type="dxa"/>
              <w:bottom w:w="80" w:type="dxa"/>
              <w:start w:w="120" w:type="dxa"/>
              <w:end w:w="120" w:type="dxa"/>
            </w:tcMar>
          </w:tcPr>
          <w:p>
            <w:r>
              <w:t>Do not approve as final from the current file; conditional approval may be supportable after final affidavit completion and verified net income</w:t>
            </w:r>
          </w:p>
        </w:tc>
      </w:tr>
    </w:tbl>
    <w:p>
      <w:pPr>
        <w:spacing w:before="0" w:after="40" w:line="264" w:lineRule="auto"/>
      </w:pP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Executive Recommendation</w:t>
              <w:br/>
              <w:t>The new cash-reserves affidavit materially improves the file because it states that $45,000 cash was personally counted on or about June 5, 2026. That amount appears sufficient to cover the $20,790 down payment and leave apparent reserves before closing costs. However, Investment Services, LLC does not recommend final approval from the current file because the affidavit appears incomplete as formal proof and verified borrower-level net self-employment income is still missing. Conditional approval may be supportable after the affidavit is completed, signed, notarized, and accepted, and after net income is verified with a profit-and-loss statement, tax/accounting records, payroll/owner-draw records, or comparable support.</w:t>
            </w:r>
          </w:p>
        </w:tc>
      </w:tr>
    </w:tbl>
    <w:p>
      <w:pPr>
        <w:spacing w:before="0" w:after="40" w:line="264" w:lineRule="auto"/>
      </w:pPr>
    </w:p>
    <w:p>
      <w:pPr>
        <w:pStyle w:val="Heading1"/>
        <w:keepNext/>
        <w:spacing w:before="320" w:after="160"/>
      </w:pPr>
      <w:r>
        <w:rPr>
          <w:rFonts w:ascii="Calibri" w:hAnsi="Calibri"/>
          <w:b/>
          <w:i w:val="0"/>
          <w:color w:val="2E74B5"/>
          <w:sz w:val="32"/>
        </w:rPr>
        <w:t>What Changed In This Rerun</w:t>
      </w:r>
    </w:p>
    <w:p>
      <w:pPr>
        <w:pStyle w:val="ListBullet"/>
        <w:spacing w:after="140" w:line="280" w:lineRule="auto"/>
        <w:ind w:left="720" w:hanging="360"/>
      </w:pPr>
      <w:r>
        <w:rPr>
          <w:rFonts w:ascii="Calibri" w:hAnsi="Calibri"/>
          <w:b w:val="0"/>
          <w:i w:val="0"/>
          <w:color w:val="000000"/>
          <w:sz w:val="22"/>
        </w:rPr>
        <w:t>A new cash-reserves affidavit was added to the Ever folder and reviewed for this rerun.</w:t>
      </w:r>
    </w:p>
    <w:p>
      <w:pPr>
        <w:pStyle w:val="ListBullet"/>
        <w:spacing w:after="140" w:line="280" w:lineRule="auto"/>
        <w:ind w:left="720" w:hanging="360"/>
      </w:pPr>
      <w:r>
        <w:rPr>
          <w:rFonts w:ascii="Calibri" w:hAnsi="Calibri"/>
          <w:b w:val="0"/>
          <w:i w:val="0"/>
          <w:color w:val="000000"/>
          <w:sz w:val="22"/>
        </w:rPr>
        <w:t>Passport images were also added. Ever's passport shows the name Ever Amarildo Cardoza Bolanos, and Maria's passport shows Maria Geraldina Sarmiento.</w:t>
      </w:r>
    </w:p>
    <w:p>
      <w:pPr>
        <w:pStyle w:val="ListBullet"/>
        <w:spacing w:after="140" w:line="280" w:lineRule="auto"/>
        <w:ind w:left="720" w:hanging="360"/>
      </w:pPr>
      <w:r>
        <w:rPr>
          <w:rFonts w:ascii="Calibri" w:hAnsi="Calibri"/>
          <w:b w:val="0"/>
          <w:i w:val="0"/>
          <w:color w:val="000000"/>
          <w:sz w:val="22"/>
        </w:rPr>
        <w:t>The affidavit materially improves the cash-to-close and reserve picture, but it appears incomplete as formal proof because one reserve-amount line is blank and the signature/notary blocks are not completed in the DOCX text.</w:t>
      </w:r>
    </w:p>
    <w:p>
      <w:r>
        <w:br w:type="page"/>
      </w:r>
    </w:p>
    <w:p>
      <w:pPr>
        <w:pStyle w:val="Heading1"/>
        <w:keepNext/>
        <w:spacing w:before="320" w:after="160"/>
      </w:pPr>
      <w:r>
        <w:rPr>
          <w:rFonts w:ascii="Calibri" w:hAnsi="Calibri"/>
          <w:b/>
          <w:i w:val="0"/>
          <w:color w:val="2E74B5"/>
          <w:sz w:val="32"/>
        </w:rPr>
        <w:t>Transaction Snapshot</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t>Supported Transaction Facts</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Purchase price</w:t>
            </w:r>
          </w:p>
        </w:tc>
        <w:tc>
          <w:tcPr>
            <w:tcW w:type="dxa" w:w="4680"/>
            <w:tcW w:w="7060" w:type="dxa"/>
            <w:vAlign w:val="center"/>
            <w:tcMar>
              <w:top w:w="80" w:type="dxa"/>
              <w:bottom w:w="80" w:type="dxa"/>
              <w:start w:w="120" w:type="dxa"/>
              <w:end w:w="120" w:type="dxa"/>
            </w:tcMar>
          </w:tcPr>
          <w:p>
            <w:r>
              <w:t>$346,500 implied from a stated 6% down payment of $20,790.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Proposed monthly payment</w:t>
            </w:r>
          </w:p>
        </w:tc>
        <w:tc>
          <w:tcPr>
            <w:tcW w:type="dxa" w:w="4680"/>
            <w:tcW w:w="7060" w:type="dxa"/>
            <w:vAlign w:val="center"/>
            <w:tcMar>
              <w:top w:w="80" w:type="dxa"/>
              <w:bottom w:w="80" w:type="dxa"/>
              <w:start w:w="120" w:type="dxa"/>
              <w:end w:w="120" w:type="dxa"/>
            </w:tcMar>
          </w:tcPr>
          <w:p>
            <w:r>
              <w:t>$2,701, described as including principal, interest, property taxes, and insurance escrow.</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Earnest money</w:t>
            </w:r>
          </w:p>
        </w:tc>
        <w:tc>
          <w:tcPr>
            <w:tcW w:type="dxa" w:w="4680"/>
            <w:tcW w:w="7060" w:type="dxa"/>
            <w:vAlign w:val="center"/>
            <w:tcMar>
              <w:top w:w="80" w:type="dxa"/>
              <w:bottom w:w="80" w:type="dxa"/>
              <w:start w:w="120" w:type="dxa"/>
              <w:end w:w="120" w:type="dxa"/>
            </w:tcMar>
          </w:tcPr>
          <w:p>
            <w:r>
              <w:t>$6,000 due at contract signing, with remaining down payment due at attorney closing.</w:t>
            </w:r>
          </w:p>
        </w:tc>
      </w:tr>
      <w:tr>
        <w:tc>
          <w:tcPr>
            <w:tcW w:type="dxa" w:w="4680"/>
            <w:shd w:fill="F2F4F7"/>
            <w:tcW w:w="2300" w:type="dxa"/>
            <w:vAlign w:val="center"/>
            <w:tcMar>
              <w:top w:w="80" w:type="dxa"/>
              <w:bottom w:w="80" w:type="dxa"/>
              <w:start w:w="120" w:type="dxa"/>
              <w:end w:w="120" w:type="dxa"/>
            </w:tcMar>
          </w:tcPr>
          <w:p>
            <w:r>
              <w:t>Cash reserves affidavit</w:t>
            </w:r>
          </w:p>
        </w:tc>
        <w:tc>
          <w:tcPr>
            <w:tcW w:type="dxa" w:w="4680"/>
            <w:tcW w:w="7060" w:type="dxa"/>
            <w:vAlign w:val="center"/>
            <w:tcMar>
              <w:top w:w="80" w:type="dxa"/>
              <w:bottom w:w="80" w:type="dxa"/>
              <w:start w:w="120" w:type="dxa"/>
              <w:end w:w="120" w:type="dxa"/>
            </w:tcMar>
          </w:tcPr>
          <w:p>
            <w:r>
              <w:t>Draft affidavit states $45,000 cash was personally counted on or about June 5, 2026; amount appears sufficient for down payment and apparent reserves before closing costs if finalized.</w:t>
            </w:r>
          </w:p>
        </w:tc>
      </w:tr>
      <w:tr>
        <w:tc>
          <w:tcPr>
            <w:tcW w:type="dxa" w:w="4680"/>
            <w:shd w:fill="F2F4F7"/>
            <w:tcW w:w="2300" w:type="dxa"/>
            <w:vAlign w:val="center"/>
            <w:tcMar>
              <w:top w:w="80" w:type="dxa"/>
              <w:bottom w:w="80" w:type="dxa"/>
              <w:start w:w="120" w:type="dxa"/>
              <w:end w:w="120" w:type="dxa"/>
            </w:tcMar>
          </w:tcPr>
          <w:p>
            <w:r>
              <w:t>ID documents</w:t>
            </w:r>
          </w:p>
        </w:tc>
        <w:tc>
          <w:tcPr>
            <w:tcW w:type="dxa" w:w="4680"/>
            <w:tcW w:w="7060" w:type="dxa"/>
            <w:vAlign w:val="center"/>
            <w:tcMar>
              <w:top w:w="80" w:type="dxa"/>
              <w:bottom w:w="80" w:type="dxa"/>
              <w:start w:w="120" w:type="dxa"/>
              <w:end w:w="120" w:type="dxa"/>
            </w:tcMar>
          </w:tcPr>
          <w:p>
            <w:r>
              <w:t>Passport image shows Ever Amarildo Cardoza Bolanos; Maria passport image shows Maria Geraldina Sarmiento. Maria role still needs confirmation.</w:t>
            </w:r>
          </w:p>
        </w:tc>
      </w:tr>
      <w:tr>
        <w:tc>
          <w:tcPr>
            <w:tcW w:type="dxa" w:w="4680"/>
            <w:shd w:fill="F2F4F7"/>
            <w:tcW w:w="2300" w:type="dxa"/>
            <w:vAlign w:val="center"/>
            <w:tcMar>
              <w:top w:w="80" w:type="dxa"/>
              <w:bottom w:w="80" w:type="dxa"/>
              <w:start w:w="120" w:type="dxa"/>
              <w:end w:w="120" w:type="dxa"/>
            </w:tcMar>
          </w:tcPr>
          <w:p>
            <w:r>
              <w:t>Structure still unresolved</w:t>
            </w:r>
          </w:p>
        </w:tc>
        <w:tc>
          <w:tcPr>
            <w:tcW w:type="dxa" w:w="4680"/>
            <w:tcW w:w="7060" w:type="dxa"/>
            <w:vAlign w:val="center"/>
            <w:tcMar>
              <w:top w:w="80" w:type="dxa"/>
              <w:bottom w:w="80" w:type="dxa"/>
              <w:start w:w="120" w:type="dxa"/>
              <w:end w:w="120" w:type="dxa"/>
            </w:tcMar>
          </w:tcPr>
          <w:p>
            <w:r>
              <w:t>Meeting materials use mixed language about note/mortgage-style financing and deed-transfer-after-payoff structure; attorney review remains required.</w:t>
            </w:r>
          </w:p>
        </w:tc>
      </w:tr>
    </w:tbl>
    <w:p>
      <w:pPr>
        <w:spacing w:before="0" w:after="40" w:line="264" w:lineRule="auto"/>
      </w:pPr>
    </w:p>
    <w:p>
      <w:pPr>
        <w:pStyle w:val="Heading1"/>
        <w:keepNext/>
        <w:spacing w:before="320" w:after="160"/>
      </w:pPr>
      <w:r>
        <w:rPr>
          <w:rFonts w:ascii="Calibri" w:hAnsi="Calibri"/>
          <w:b/>
          <w:i w:val="0"/>
          <w:color w:val="2E74B5"/>
          <w:sz w:val="32"/>
        </w:rPr>
        <w:t>Screening Strengths</w:t>
      </w:r>
    </w:p>
    <w:p>
      <w:pPr>
        <w:pStyle w:val="ListBullet"/>
        <w:spacing w:after="140" w:line="280" w:lineRule="auto"/>
        <w:ind w:left="720" w:hanging="360"/>
      </w:pPr>
      <w:r>
        <w:rPr>
          <w:rFonts w:ascii="Calibri" w:hAnsi="Calibri"/>
          <w:b w:val="0"/>
          <w:i w:val="0"/>
          <w:color w:val="000000"/>
          <w:sz w:val="22"/>
        </w:rPr>
        <w:t>Identity is marked verified in the applicant details.</w:t>
      </w:r>
    </w:p>
    <w:p>
      <w:pPr>
        <w:pStyle w:val="ListBullet"/>
        <w:spacing w:after="140" w:line="280" w:lineRule="auto"/>
        <w:ind w:left="720" w:hanging="360"/>
      </w:pPr>
      <w:r>
        <w:rPr>
          <w:rFonts w:ascii="Calibri" w:hAnsi="Calibri"/>
          <w:b w:val="0"/>
          <w:i w:val="0"/>
          <w:color w:val="000000"/>
          <w:sz w:val="22"/>
        </w:rPr>
        <w:t>Credit report shows a 706 VantageScore 4.0 score.</w:t>
      </w:r>
    </w:p>
    <w:p>
      <w:pPr>
        <w:pStyle w:val="ListBullet"/>
        <w:spacing w:after="140" w:line="280" w:lineRule="auto"/>
        <w:ind w:left="720" w:hanging="360"/>
      </w:pPr>
      <w:r>
        <w:rPr>
          <w:rFonts w:ascii="Calibri" w:hAnsi="Calibri"/>
          <w:b w:val="0"/>
          <w:i w:val="0"/>
          <w:color w:val="000000"/>
          <w:sz w:val="22"/>
        </w:rPr>
        <w:t>Credit report shows 100% on-time payments, no collections, no delinquent or derogatory account, and no bankruptcies found.</w:t>
      </w:r>
    </w:p>
    <w:p>
      <w:pPr>
        <w:pStyle w:val="ListBullet"/>
        <w:spacing w:after="140" w:line="280" w:lineRule="auto"/>
        <w:ind w:left="720" w:hanging="360"/>
      </w:pPr>
      <w:r>
        <w:rPr>
          <w:rFonts w:ascii="Calibri" w:hAnsi="Calibri"/>
          <w:b w:val="0"/>
          <w:i w:val="0"/>
          <w:color w:val="000000"/>
          <w:sz w:val="22"/>
        </w:rPr>
        <w:t>Background check reports no housing court records and no criminal records.</w:t>
      </w:r>
    </w:p>
    <w:p>
      <w:pPr>
        <w:pStyle w:val="ListBullet"/>
        <w:spacing w:after="140" w:line="280" w:lineRule="auto"/>
        <w:ind w:left="720" w:hanging="360"/>
      </w:pPr>
      <w:r>
        <w:rPr>
          <w:rFonts w:ascii="Calibri" w:hAnsi="Calibri"/>
          <w:b w:val="0"/>
          <w:i w:val="0"/>
          <w:color w:val="000000"/>
          <w:sz w:val="22"/>
        </w:rPr>
        <w:t>Rent verification letter supports timely rent payments during the tenancy.</w:t>
      </w:r>
    </w:p>
    <w:p>
      <w:pPr>
        <w:pStyle w:val="Heading1"/>
        <w:keepNext/>
        <w:spacing w:before="320" w:after="160"/>
      </w:pPr>
      <w:r>
        <w:rPr>
          <w:rFonts w:ascii="Calibri" w:hAnsi="Calibri"/>
          <w:b/>
          <w:i w:val="0"/>
          <w:color w:val="2E74B5"/>
          <w:sz w:val="32"/>
        </w:rPr>
        <w:t>Ability-To-Repay Findings</w:t>
      </w:r>
    </w:p>
    <w:p>
      <w:pPr>
        <w:pStyle w:val="Heading2"/>
        <w:keepNext/>
        <w:spacing w:before="200" w:after="100"/>
      </w:pPr>
      <w:r>
        <w:rPr>
          <w:rFonts w:ascii="Calibri" w:hAnsi="Calibri"/>
          <w:b/>
          <w:i w:val="0"/>
          <w:color w:val="2E74B5"/>
          <w:sz w:val="26"/>
        </w:rPr>
        <w:t>Income And Business Cash Flow</w:t>
      </w:r>
    </w:p>
    <w:p>
      <w:pPr>
        <w:spacing w:before="0" w:after="120" w:line="264" w:lineRule="auto"/>
      </w:pPr>
      <w:r>
        <w:rPr>
          <w:rFonts w:ascii="Calibri" w:hAnsi="Calibri"/>
          <w:b w:val="0"/>
          <w:i w:val="0"/>
          <w:color w:val="000000"/>
          <w:sz w:val="22"/>
        </w:rPr>
        <w:t>Applicant details state self-employment income of $9,500/month. The business statements support active Matthew Flooring LLC gross cash flow, but they still do not verify borrower-level net income without tax returns, a profit-and-loss statement, ownership/compensation records, owner-draw analysis, or comparable accounting support. The new cash affidavit does not solve the income-verification issue.</w:t>
      </w:r>
    </w:p>
    <w:p>
      <w:r>
        <w:br w:type="page"/>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Business Statement Summary</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Unique business statements reviewed</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16 unique statements; one August/September 2025 business statement appears duplicated or mislabeled.</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Business deposits/credits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$434,462.90 total; $27,153.93 average per month.</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Business withdrawals/debits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$433,300.52 total; $27,081.28 average per month.</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Average monthly net account increase</w:t>
            </w:r>
          </w:p>
        </w:tc>
        <w:tc>
          <w:tcPr>
            <w:tcW w:type="dxa" w:w="4680"/>
            <w:tcW w:w="7060" w:type="dxa"/>
            <w:vAlign w:val="center"/>
            <w:tcMar>
              <w:top w:w="80" w:type="dxa"/>
              <w:bottom w:w="80" w:type="dxa"/>
              <w:start w:w="120" w:type="dxa"/>
              <w:end w:w="120" w:type="dxa"/>
            </w:tcMar>
          </w:tcPr>
          <w:p>
            <w:r>
              <w:t>$72.65 across the unique business statement set. This remains insufficient by itself to verify borrower-level net income.</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2026 business average deposits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$24,631.93/month from January through May 2026.</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2026 business average net increase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$528.82/month from January through May 2026.</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Latest business ending balance</w:t>
            </w:r>
          </w:p>
        </w:tc>
        <w:tc>
          <w:tcPr>
            <w:tcW w:type="dxa" w:w="4680"/>
            <w:tcW w:w="7060" w:type="dxa"/>
            <w:vAlign w:val="center"/>
            <w:tcMar>
              <w:top w:w="80" w:type="dxa"/>
              <w:bottom w:w="80" w:type="dxa"/>
              <w:start w:w="120" w:type="dxa"/>
              <w:end w:w="120" w:type="dxa"/>
            </w:tcMar>
          </w:tcPr>
          <w:p>
            <w:r>
              <w:t>$5,058.11 on the May 31, 2026 statement; bank balance alone does not prove cash to close, but the new affidavit separately states $45,000 cash was counted.</w:t>
            </w:r>
          </w:p>
        </w:tc>
      </w:tr>
    </w:tbl>
    <w:p>
      <w:pPr>
        <w:spacing w:before="0" w:after="40" w:line="264" w:lineRule="auto"/>
      </w:pPr>
    </w:p>
    <w:p>
      <w:pPr>
        <w:pStyle w:val="Heading2"/>
        <w:keepNext/>
        <w:spacing w:before="200" w:after="100"/>
      </w:pPr>
      <w:r>
        <w:rPr>
          <w:rFonts w:ascii="Calibri" w:hAnsi="Calibri"/>
          <w:b/>
          <w:i w:val="0"/>
          <w:color w:val="2E74B5"/>
          <w:sz w:val="26"/>
        </w:rPr>
        <w:t>Debt Burden</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Credit Report Debt Summary</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Estimated monthly debt payments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$2,162</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Total debt</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$86,790</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Open auto-loan balances</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$16,536; $19,112; $22,864; $28,278</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Credit-card balance shown</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$0 on Capital One account</w:t>
            </w:r>
          </w:p>
        </w:tc>
      </w:tr>
    </w:tbl>
    <w:p>
      <w:pPr>
        <w:spacing w:before="0" w:after="40" w:line="264" w:lineRule="auto"/>
      </w:pPr>
    </w:p>
    <w:p>
      <w:r>
        <w:br w:type="page"/>
      </w:r>
    </w:p>
    <w:p>
      <w:pPr>
        <w:pStyle w:val="Heading2"/>
        <w:keepNext/>
        <w:spacing w:before="200" w:after="100"/>
      </w:pPr>
      <w:r>
        <w:rPr>
          <w:rFonts w:ascii="Calibri" w:hAnsi="Calibri"/>
          <w:b/>
          <w:i w:val="0"/>
          <w:color w:val="2E74B5"/>
          <w:sz w:val="26"/>
        </w:rPr>
        <w:t>Payment Ratios</w:t>
      </w:r>
    </w:p>
    <w:tbl>
      <w:tblPr>
        <w:tblStyle w:val="TableGrid"/>
        <w:tblW w:type="auto" w:w="0"/>
        <w:jc w:val="left"/>
        <w:tblLayout w:type="fixed"/>
        <w:tblLook w:firstColumn="1" w:firstRow="1" w:lastColumn="0" w:lastRow="0" w:noHBand="0" w:noVBand="1" w:val="04A0"/>
        <w:tblW w:w="9360" w:type="dxa"/>
        <w:tblInd w:w="120" w:type="dxa"/>
      </w:tblPr>
      <w:tblGrid>
        <w:gridCol w:w="2300"/>
        <w:gridCol w:w="7060"/>
      </w:tblGrid>
      <w:tr>
        <w:tc>
          <w:tcPr>
            <w:tcW w:type="dxa" w:w="9360"/>
            <w:gridSpan w:val="2"/>
            <w:shd w:fill="F2F4F7"/>
            <w:tcW w:w="2300" w:type="dxa"/>
            <w:vAlign w:val="center"/>
            <w:tcMar>
              <w:top w:w="80" w:type="dxa"/>
              <w:bottom w:w="80" w:type="dxa"/>
              <w:start w:w="120" w:type="dxa"/>
              <w:end w:w="120" w:type="dxa"/>
            </w:tcMar>
            <w:tcW w:w="7060" w:type="dxa"/>
          </w:tcPr>
          <w:p>
            <w:r>
              <w:rPr>
                <w:rFonts w:ascii="Calibri" w:hAnsi="Calibri"/>
                <w:b/>
                <w:i w:val="0"/>
                <w:color w:val="000000"/>
                <w:sz w:val="21"/>
              </w:rPr>
              <w:t>Ratio Test</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Housing ratio using stated income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$2,701 / $9,500 = 28.4%</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Back-end ratio using stated income</w:t>
            </w:r>
          </w:p>
        </w:tc>
        <w:tc>
          <w:tcPr>
            <w:tcW w:type="dxa" w:w="4680"/>
            <w:tcW w:w="7060" w:type="dxa"/>
            <w:vAlign w:val="center"/>
            <w:tcMar>
              <w:top w:w="80" w:type="dxa"/>
              <w:bottom w:w="80" w:type="dxa"/>
              <w:start w:w="120" w:type="dxa"/>
              <w:end w:w="120" w:type="dxa"/>
            </w:tcMar>
          </w:tcPr>
          <w:p>
            <w:r>
              <w:rPr>
                <w:rFonts w:ascii="Calibri" w:hAnsi="Calibri"/>
                <w:b w:val="0"/>
                <w:i w:val="0"/>
                <w:color w:val="000000"/>
                <w:sz w:val="21"/>
              </w:rPr>
              <w:t>($2,701 + $2,162) / $9,500 = 51.2%</w:t>
            </w:r>
          </w:p>
        </w:tc>
      </w:tr>
      <w:tr>
        <w:tc>
          <w:tcPr>
            <w:tcW w:type="dxa" w:w="4680"/>
            <w:shd w:fill="F2F4F7"/>
            <w:tcW w:w="2300" w:type="dxa"/>
            <w:vAlign w:val="center"/>
            <w:tcMar>
              <w:top w:w="80" w:type="dxa"/>
              <w:bottom w:w="80" w:type="dxa"/>
              <w:start w:w="120" w:type="dxa"/>
              <w:end w:w="120" w:type="dxa"/>
            </w:tcMar>
          </w:tcPr>
          <w:p>
            <w:r>
              <w:rPr>
                <w:rFonts w:ascii="Calibri" w:hAnsi="Calibri"/>
                <w:b/>
                <w:i w:val="0"/>
                <w:color w:val="000000"/>
                <w:sz w:val="21"/>
              </w:rPr>
              <w:t>Underwriting interpretation</w:t>
            </w:r>
          </w:p>
        </w:tc>
        <w:tc>
          <w:tcPr>
            <w:tcW w:type="dxa" w:w="4680"/>
            <w:tcW w:w="7060" w:type="dxa"/>
            <w:vAlign w:val="center"/>
            <w:tcMar>
              <w:top w:w="80" w:type="dxa"/>
              <w:bottom w:w="80" w:type="dxa"/>
              <w:start w:w="120" w:type="dxa"/>
              <w:end w:w="120" w:type="dxa"/>
            </w:tcMar>
          </w:tcPr>
          <w:p>
            <w:r>
              <w:t>The housing ratio may look plausible using stated income, but the 51.2% back-end ratio is high. The new affidavit improves cash reserves, not income verification. Final approval should wait for verified net income and final debt confirmation.</w:t>
            </w:r>
          </w:p>
        </w:tc>
      </w:tr>
    </w:tbl>
    <w:p>
      <w:pPr>
        <w:spacing w:before="0" w:after="40" w:line="264" w:lineRule="auto"/>
      </w:pPr>
    </w:p>
    <w:p>
      <w:pPr>
        <w:pStyle w:val="Heading2"/>
        <w:keepNext/>
        <w:spacing w:before="200" w:after="100"/>
      </w:pPr>
      <w:r>
        <w:rPr>
          <w:rFonts w:ascii="Calibri" w:hAnsi="Calibri"/>
          <w:b/>
          <w:i w:val="0"/>
          <w:color w:val="2E74B5"/>
          <w:sz w:val="26"/>
        </w:rPr>
        <w:t>Cash To Close And Reserves</w:t>
      </w:r>
    </w:p>
    <w:p>
      <w:pPr>
        <w:spacing w:before="0" w:after="120" w:line="264" w:lineRule="auto"/>
      </w:pPr>
      <w:r>
        <w:rPr>
          <w:rFonts w:ascii="Calibri" w:hAnsi="Calibri"/>
          <w:b w:val="0"/>
          <w:i w:val="0"/>
          <w:color w:val="000000"/>
          <w:sz w:val="22"/>
        </w:rPr>
        <w:t>The cash-reserves affidavit states that $45,000 cash was personally counted on or about June 5, 2026. If completed, signed, notarized, and accepted by counsel/closing review, that amount appears sufficient to cover the $20,790 down payment and leave apparent reserves before closing costs. The existing bank balances alone still do not prove funds to close: latest business ending balance was $5,058.11 and latest personal ending balance on file was $503.73.</w:t>
      </w:r>
    </w:p>
    <w:p>
      <w:pPr>
        <w:pStyle w:val="Heading1"/>
        <w:keepNext/>
        <w:spacing w:before="320" w:after="160"/>
      </w:pPr>
      <w:r>
        <w:rPr>
          <w:rFonts w:ascii="Calibri" w:hAnsi="Calibri"/>
          <w:b/>
          <w:i w:val="0"/>
          <w:color w:val="2E74B5"/>
          <w:sz w:val="32"/>
        </w:rPr>
        <w:t>Decision</w:t>
      </w:r>
    </w:p>
    <w:tbl>
      <w:tblPr>
        <w:tblStyle w:val="TableGrid"/>
        <w:tblW w:type="auto" w:w="0"/>
        <w:jc w:val="left"/>
        <w:tblLayout w:type="fixed"/>
        <w:tblLook w:firstColumn="1" w:firstRow="1" w:lastColumn="0" w:lastRow="0" w:noHBand="0" w:noVBand="1" w:val="04A0"/>
        <w:tblW w:w="9360" w:type="dxa"/>
        <w:tblInd w:w="120" w:type="dxa"/>
      </w:tblPr>
      <w:tblGrid>
        <w:gridCol w:w="9360"/>
      </w:tblGrid>
      <w:tr>
        <w:tc>
          <w:tcPr>
            <w:tcW w:type="dxa" w:w="9360"/>
            <w:shd w:fill="F8EAEA"/>
            <w:tcW w:w="9360" w:type="dxa"/>
            <w:vAlign w:val="center"/>
            <w:tcMar>
              <w:top w:w="80" w:type="dxa"/>
              <w:bottom w:w="80" w:type="dxa"/>
              <w:start w:w="120" w:type="dxa"/>
              <w:end w:w="120" w:type="dxa"/>
            </w:tcMar>
          </w:tcPr>
          <w:p>
            <w:r>
              <w:t>Preliminary Decision After Affidavit Rerun</w:t>
              <w:br/>
              <w:t>Do not approve as final from the current file. The new affidavit materially improves the cash-to-close/reserve condition, and conditional approval may be supportable if the affidavit is completed, signed, notarized, and accepted. The remaining primary blocker is verified borrower-level net income for Ever Amarildo Cardoza Bolanos. Gross business deposits and cash on hand should not substitute for a documented profit-and-loss statement, tax/accounting support, payroll/owner-draw records, or comparable net-income verification. Attorney/compliance review remains required before final approval.</w:t>
            </w:r>
          </w:p>
        </w:tc>
      </w:tr>
    </w:tbl>
    <w:p>
      <w:pPr>
        <w:spacing w:before="0" w:after="40" w:line="264" w:lineRule="auto"/>
      </w:pPr>
    </w:p>
    <w:p>
      <w:pPr>
        <w:pStyle w:val="Heading1"/>
        <w:keepNext/>
        <w:spacing w:before="320" w:after="160"/>
      </w:pPr>
      <w:r>
        <w:rPr>
          <w:rFonts w:ascii="Calibri" w:hAnsi="Calibri"/>
          <w:b/>
          <w:i w:val="0"/>
          <w:color w:val="2E74B5"/>
          <w:sz w:val="32"/>
        </w:rPr>
        <w:t>Conditions Required Before Final Approval</w:t>
      </w:r>
    </w:p>
    <w:p>
      <w:pPr>
        <w:pStyle w:val="ListNumber"/>
        <w:spacing w:after="140" w:line="280" w:lineRule="auto"/>
        <w:ind w:left="720" w:hanging="360"/>
      </w:pPr>
      <w:r>
        <w:rPr>
          <w:rFonts w:ascii="Calibri" w:hAnsi="Calibri"/>
          <w:b w:val="0"/>
          <w:i w:val="0"/>
          <w:color w:val="000000"/>
          <w:sz w:val="22"/>
        </w:rPr>
        <w:t>Confirm final legal name for each buyer or obligor. Passport image supports Ever Amarildo Cardoza Bolanos; Zillow materials show Ever Amarildo Cardoza.</w:t>
      </w:r>
    </w:p>
    <w:p>
      <w:pPr>
        <w:pStyle w:val="ListNumber"/>
        <w:spacing w:after="140" w:line="280" w:lineRule="auto"/>
        <w:ind w:left="720" w:hanging="360"/>
      </w:pPr>
      <w:r>
        <w:rPr>
          <w:rFonts w:ascii="Calibri" w:hAnsi="Calibri"/>
          <w:b w:val="0"/>
          <w:i w:val="0"/>
          <w:color w:val="000000"/>
          <w:sz w:val="22"/>
        </w:rPr>
        <w:t>Current 2026 personal bank statements through the application or closing-review month.</w:t>
      </w:r>
    </w:p>
    <w:p>
      <w:pPr>
        <w:pStyle w:val="ListNumber"/>
        <w:spacing w:after="140" w:line="280" w:lineRule="auto"/>
        <w:ind w:left="720" w:hanging="360"/>
      </w:pPr>
      <w:r>
        <w:rPr>
          <w:rFonts w:ascii="Calibri" w:hAnsi="Calibri"/>
          <w:b w:val="0"/>
          <w:i w:val="0"/>
          <w:color w:val="000000"/>
          <w:sz w:val="22"/>
        </w:rPr>
        <w:t>Self-employment income package: tax returns, year-to-date profit-and-loss, 1099s, invoices/contracts, payroll or owner-draw records, and customer/payment verification where available.</w:t>
      </w:r>
    </w:p>
    <w:p>
      <w:pPr>
        <w:pStyle w:val="ListNumber"/>
        <w:spacing w:after="140" w:line="280" w:lineRule="auto"/>
        <w:ind w:left="720" w:hanging="360"/>
      </w:pPr>
      <w:r>
        <w:rPr>
          <w:rFonts w:ascii="Calibri" w:hAnsi="Calibri"/>
          <w:b w:val="0"/>
          <w:i w:val="0"/>
          <w:color w:val="000000"/>
          <w:sz w:val="22"/>
        </w:rPr>
        <w:t>Explanation of Ever's ownership, officer role, or compensation relationship with Matthew Flooring LLC.</w:t>
      </w:r>
    </w:p>
    <w:p>
      <w:pPr>
        <w:pStyle w:val="ListNumber"/>
        <w:spacing w:after="140" w:line="280" w:lineRule="auto"/>
        <w:ind w:left="720" w:hanging="360"/>
      </w:pPr>
      <w:r>
        <w:rPr>
          <w:rFonts w:ascii="Calibri" w:hAnsi="Calibri"/>
          <w:b w:val="0"/>
          <w:i w:val="0"/>
          <w:color w:val="000000"/>
          <w:sz w:val="22"/>
        </w:rPr>
        <w:t>Explanation and documentation for material non-routine transfer activity, including outgoing person-to-person transfers and cash withdrawals where used to support add-backs or owner income.</w:t>
      </w:r>
    </w:p>
    <w:p>
      <w:pPr>
        <w:pStyle w:val="ListNumber"/>
        <w:spacing w:after="140" w:line="280" w:lineRule="auto"/>
        <w:ind w:left="720" w:hanging="360"/>
      </w:pPr>
      <w:r>
        <w:rPr>
          <w:rFonts w:ascii="Calibri" w:hAnsi="Calibri"/>
          <w:b w:val="0"/>
          <w:i w:val="0"/>
          <w:color w:val="000000"/>
          <w:sz w:val="22"/>
        </w:rPr>
        <w:t>Current debt obligations and monthly payments, including whether the auto loans will remain after closing.</w:t>
      </w:r>
    </w:p>
    <w:p>
      <w:pPr>
        <w:pStyle w:val="ListNumber"/>
        <w:spacing w:after="140" w:line="280" w:lineRule="auto"/>
        <w:ind w:left="720" w:hanging="360"/>
      </w:pPr>
      <w:r>
        <w:rPr>
          <w:rFonts w:ascii="Calibri" w:hAnsi="Calibri"/>
          <w:b w:val="0"/>
          <w:i w:val="0"/>
          <w:color w:val="000000"/>
          <w:sz w:val="22"/>
        </w:rPr>
        <w:t>Completed signed/notarized cash-reserves affidavit or other acceptable proof of down payment, earnest money source, closing funds, and reserves.</w:t>
      </w:r>
    </w:p>
    <w:p>
      <w:pPr>
        <w:pStyle w:val="ListNumber"/>
        <w:spacing w:after="140" w:line="280" w:lineRule="auto"/>
        <w:ind w:left="720" w:hanging="360"/>
      </w:pPr>
      <w:r>
        <w:rPr>
          <w:rFonts w:ascii="Calibri" w:hAnsi="Calibri"/>
          <w:b w:val="0"/>
          <w:i w:val="0"/>
          <w:color w:val="000000"/>
          <w:sz w:val="22"/>
        </w:rPr>
        <w:t>Final proposed payment schedule and escrow breakdown.</w:t>
      </w:r>
    </w:p>
    <w:p>
      <w:pPr>
        <w:pStyle w:val="ListNumber"/>
        <w:spacing w:after="140" w:line="280" w:lineRule="auto"/>
        <w:ind w:left="720" w:hanging="360"/>
      </w:pPr>
      <w:r>
        <w:rPr>
          <w:rFonts w:ascii="Calibri" w:hAnsi="Calibri"/>
          <w:b w:val="0"/>
          <w:i w:val="0"/>
          <w:color w:val="000000"/>
          <w:sz w:val="22"/>
        </w:rPr>
        <w:t>Attorney review of seller-financing compliance and any adverse-action or conditional-approval notice requirements.</w:t>
      </w:r>
    </w:p>
    <w:p>
      <w:pPr>
        <w:pStyle w:val="Heading1"/>
        <w:keepNext/>
        <w:spacing w:before="320" w:after="160"/>
      </w:pPr>
      <w:r>
        <w:rPr>
          <w:rFonts w:ascii="Calibri" w:hAnsi="Calibri"/>
          <w:b/>
          <w:i w:val="0"/>
          <w:color w:val="2E74B5"/>
          <w:sz w:val="32"/>
        </w:rPr>
        <w:t>Compliance And Use Limitations</w:t>
      </w:r>
    </w:p>
    <w:p>
      <w:pPr>
        <w:pStyle w:val="ListBullet"/>
        <w:spacing w:after="140" w:line="280" w:lineRule="auto"/>
        <w:ind w:left="720" w:hanging="360"/>
      </w:pPr>
      <w:r>
        <w:rPr>
          <w:rFonts w:ascii="Calibri" w:hAnsi="Calibri"/>
          <w:b w:val="0"/>
          <w:i w:val="0"/>
          <w:color w:val="000000"/>
          <w:sz w:val="22"/>
        </w:rPr>
        <w:t>This report is a preliminary business and file-completeness review, not legal advice.</w:t>
      </w:r>
    </w:p>
    <w:p>
      <w:pPr>
        <w:pStyle w:val="ListBullet"/>
        <w:spacing w:after="140" w:line="280" w:lineRule="auto"/>
        <w:ind w:left="720" w:hanging="360"/>
      </w:pPr>
      <w:r>
        <w:rPr>
          <w:rFonts w:ascii="Calibri" w:hAnsi="Calibri"/>
          <w:b w:val="0"/>
          <w:i w:val="0"/>
          <w:color w:val="000000"/>
          <w:sz w:val="22"/>
        </w:rPr>
        <w:t>Attorney review remains required for seller-financer, Dodd-Frank, Regulation Z, North Carolina law, and adverse-action notice questions.</w:t>
      </w:r>
    </w:p>
    <w:p>
      <w:pPr>
        <w:pStyle w:val="ListBullet"/>
        <w:spacing w:after="140" w:line="280" w:lineRule="auto"/>
        <w:ind w:left="720" w:hanging="360"/>
      </w:pPr>
      <w:r>
        <w:rPr>
          <w:rFonts w:ascii="Calibri" w:hAnsi="Calibri"/>
          <w:b w:val="0"/>
          <w:i w:val="0"/>
          <w:color w:val="000000"/>
          <w:sz w:val="22"/>
        </w:rPr>
        <w:t>If the buyer is declined or approved only with changed terms, counsel should confirm whether Equal Credit Opportunity Act or Fair Credit Reporting Act notices are required.</w:t>
      </w:r>
    </w:p>
    <w:p>
      <w:pPr>
        <w:pStyle w:val="ListBullet"/>
        <w:spacing w:after="140" w:line="280" w:lineRule="auto"/>
        <w:ind w:left="720" w:hanging="360"/>
      </w:pPr>
      <w:r>
        <w:rPr>
          <w:rFonts w:ascii="Calibri" w:hAnsi="Calibri"/>
          <w:b w:val="0"/>
          <w:i w:val="0"/>
          <w:color w:val="000000"/>
          <w:sz w:val="22"/>
        </w:rPr>
        <w:t>Any final approval should be documented with a fresh ability-to-repay worksheet using verified net income, final debt obligations, completed cash-reserve proof, and reserve evidence.</w:t>
      </w:r>
    </w:p>
    <w:p>
      <w:pPr>
        <w:pStyle w:val="Heading1"/>
        <w:keepNext/>
        <w:spacing w:before="320" w:after="160"/>
      </w:pPr>
      <w:r>
        <w:rPr>
          <w:rFonts w:ascii="Calibri" w:hAnsi="Calibri"/>
          <w:b/>
          <w:i w:val="0"/>
          <w:color w:val="2E74B5"/>
          <w:sz w:val="32"/>
        </w:rPr>
        <w:t>Prepared By</w:t>
      </w:r>
    </w:p>
    <w:p>
      <w:pPr>
        <w:spacing w:before="0" w:after="120" w:line="264" w:lineRule="auto"/>
      </w:pPr>
      <w:r>
        <w:rPr>
          <w:rFonts w:ascii="Calibri" w:hAnsi="Calibri"/>
          <w:b/>
          <w:i w:val="0"/>
          <w:color w:val="000000"/>
          <w:sz w:val="22"/>
        </w:rPr>
        <w:t>Investment Services, LLC</w:t>
      </w:r>
    </w:p>
    <w:p>
      <w:pPr>
        <w:spacing w:before="0" w:after="120" w:line="264" w:lineRule="auto"/>
      </w:pPr>
      <w:r>
        <w:rPr>
          <w:rFonts w:ascii="Calibri" w:hAnsi="Calibri"/>
          <w:b w:val="0"/>
          <w:i w:val="0"/>
          <w:color w:val="000000"/>
          <w:sz w:val="22"/>
        </w:rPr>
        <w:t>For Sell Your Home review and attorney/compliance follow-up.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A5A5A"/>
        <w:sz w:val="17"/>
      </w:rPr>
    </w:r>
    <w:r>
      <w:rPr>
        <w:color w:val="595959"/>
        <w:sz w:val="18"/>
      </w:rPr>
      <w:t xml:space="preserve">Page </w:t>
    </w:r>
    <w:r>
      <w:fldChar w:fldCharType="begin"/>
      <w:instrText xml:space="preserve">PAGE</w:instrText>
      <w:fldChar w:fldCharType="separate"/>
      <w:t>1</w:t>
      <w:fldChar w:fldCharType="end"/>
    </w:r>
    <w:r>
      <w:rPr>
        <w:color w:val="595959"/>
        <w:sz w:val="18"/>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26-06-05 320 Rose Ever Amarildo Cardoza Bolanos - Creditworthiness Evaluation Report - Affidavit Rerun v5</dc:title>
  <dc:subject>Evidence-mode creditworthiness rerun after cash reserves affidavit</dc:subject>
  <dc:creator>Investment Services, LLC</dc:creator>
  <cp:keywords/>
  <dc:description>Prepared by Investment Services, LLC for Sell Your Home review.</dc:description>
  <cp:lastModifiedBy>Investment Services, LLC</cp:lastModifiedBy>
  <cp:revision>1</cp:revision>
  <dcterms:created xsi:type="dcterms:W3CDTF">2013-12-23T23:15:00Z</dcterms:created>
  <dcterms:modified xsi:type="dcterms:W3CDTF">2013-12-23T23:15:00Z</dcterms:modified>
  <cp:category/>
</cp:coreProperties>
</file>