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15, 2026</w:t>
      </w:r>
    </w:p>
    <w:p>
      <w:pPr>
        <w:spacing w:after="40"/>
        <w:ind w:left="115"/>
      </w:pPr>
      <w:r>
        <w:t>Version:  1.11</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If we settle with Natalie now, would the settlement, dismissal, release, or any other term waive, impair, or otherwise prevent us from seeking Rule 11 sanctions against her attorney?</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2026-08-15  |  Version 1.11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