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strike w:val="true"/>
        </w:rPr>
        <w:t>SELL YOUR HOME, LLC</w:t>
      </w:r>
      <w:r w:rsidRPr="00CC6850">
        <w:rPr>
          <w:b/>
          <w:bCs/>
          <w:color w:val="008000"/>
        </w:rPr>
        <w:t>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008000"/>
        </w:rPr>
        <w:t xml:space="preserve">Browning Family Revocable Trust is the sole Member of the Company.</w:t>
      </w:r>
    </w:p>
    <w:p>
      <w:pPr>
        <w:widowControl w:val="0"/>
        <w:spacing w:after="0"/>
        <w:jc w:val="both"/>
        <w:rPr>
          <w:sz w:val="22"/>
          <w:szCs w:val="20"/>
        </w:rPr>
      </w:pPr>
      <w:r>
        <w:rPr>
          <w:color w:val="008000"/>
        </w:rPr>
        <w:t xml:space="preserve">    This sole Member acts through its co-trustees,</w:t>
      </w:r>
    </w:p>
    <w:p>
      <w:pPr>
        <w:widowControl w:val="0"/>
        <w:spacing w:after="0"/>
        <w:jc w:val="both"/>
        <w:rPr>
          <w:sz w:val="22"/>
          <w:szCs w:val="20"/>
        </w:rPr>
      </w:pPr>
      <w:r>
        <w:rPr>
          <w:color w:val="008000"/>
        </w:rPr>
        <w:t xml:space="preserve">    Wesley Dale Browning and</w:t>
      </w:r>
    </w:p>
    <w:p>
      <w:pPr>
        <w:widowControl w:val="0"/>
        <w:spacing w:after="0"/>
        <w:jc w:val="both"/>
        <w:rPr>
          <w:sz w:val="22"/>
          <w:szCs w:val="20"/>
        </w:rPr>
      </w:pPr>
      <w:r>
        <w:rPr>
          <w:color w:val="008000"/>
        </w:rPr>
        <w:t xml:space="preserve">    Jeanette Wilson Hollinger, or</w:t>
      </w:r>
    </w:p>
    <w:p>
      <w:pPr>
        <w:widowControl w:val="0"/>
        <w:spacing w:after="0"/>
        <w:jc w:val="both"/>
        <w:rPr>
          <w:sz w:val="22"/>
          <w:szCs w:val="20"/>
        </w:rPr>
      </w:pPr>
      <w:r>
        <w:rPr>
          <w:color w:val="008000"/>
        </w:rPr>
        <w:t xml:space="preserve">    any successor trustee authorized under the Browning Family Revocable Trust documents.</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w:t>
      </w:r>
      <w:r>
        <w:rPr>
          <w:strike w:val="true"/>
        </w:rPr>
        <w:t>Sell Your Home, LLC</w:t>
      </w:r>
      <w:r>
        <w:rPr>
          <w:color w:val="008000"/>
        </w:rPr>
        <w:t> Buy Your Home, LLC</w:t>
      </w:r>
      <w:r>
        <w:t>.</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sidRPr="003D0C0A">
        <w:rPr>
          <w:szCs w:val="24"/>
        </w:rPr>
        <w:t xml:space="preserve"> of each Article in the Operating Agreement for </w:t>
      </w:r>
      <w:r w:rsidRPr="003D0C0A">
        <w:rPr>
          <w:szCs w:val="24"/>
          <w:strike w:val="true"/>
        </w:rPr>
        <w:t xml:space="preserve">Sell Your Home, LLC</w:t>
      </w:r>
      <w:r w:rsidRPr="003D0C0A">
        <w:rPr>
          <w:szCs w:val="24"/>
          <w:color w:val="008000"/>
        </w:rPr>
        <w:t xml:space="preserve"> Buy Your Home, LLC</w:t>
      </w:r>
      <w:r w:rsidRPr="003D0C0A">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strike w:val="true"/>
        </w:rPr>
        <w:t xml:space="preserve">Manager(s) need not be Members and cannot be disqualified </w:t>
      </w:r>
      <w:proofErr w:type="gramStart"/>
      <w:r w:rsidRPr="00E63AC8">
        <w:rPr>
          <w:szCs w:val="24"/>
          <w:strike w:val="true"/>
        </w:rPr>
        <w:t>persons</w:t>
      </w:r>
      <w:proofErr w:type="gramEnd"/>
      <w:r w:rsidRPr="00E63AC8">
        <w:rPr>
          <w:szCs w:val="24"/>
          <w:strike w:val="true"/>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pPr>
        <w:keepNext w:val="0"/>
        <w:keepLines w:val="0"/>
        <w:widowControl w:val="0"/>
        <w:rPr>
          <w:b/>
          <w:bCs w:val="0"/>
          <w:color w:val="auto"/>
          <w:sz w:val="26"/>
          <w:szCs w:val="26"/>
        </w:rPr>
      </w:pPr>
      <w:r>
        <w:rPr>
          <w:color w:val="008000"/>
        </w:rPr>
        <w:t xml:space="preserve">Sole Member and Voting Authority. Browning Family Revocable Trust is the sole Member of the Company and holds 100% of the Membership Units. The co-trustees of Browning Family Revocable Trust, currently Wesley Dale Browning and Jeanette Wilson Hollinger, exercise the voting authority of the sole Member and are not separate Members solely by reason of serving as co-trustees.</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t xml:space="preserve">Notice and Offer. The Member or their legal representative (the “Seller”) must first offer the Units in writing to the Company and the other Members. If the sale is due to death or permanent disability of a Member, the Company has the right, but not the obligation, to purchase the Units within 90 days. The purchase price must be determined using the valuation methods in Sections 3.8, 3.9, and 3.10.</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Pr>
          <w:strike w:val="true"/>
        </w:rPr>
        <w:t xml:space="preserve">Buy-Sell Rights After Death or Disability of Member or Account Holder.</w:t>
      </w:r>
      <w:r>
        <w:rPr>
          <w:color w:val="008000"/>
        </w:rPr>
        <w:t xml:space="preserve">Buy-Sell Rights After Death or Disability of Member.</w:t>
      </w:r>
      <w:r>
        <w:t xml:space="preserve"> If a Member who is an individualdies or becomes permanently and totally disabled, the Company has the right (but not the obligation) to purchase that Member’s Units. This right lasts for 90 days from the date of death or disability. The purchase price must be calculated using the methods in Sections 3.8, 3.9, and 3.10, and the payment and closing must follow the terms set out in Section 3.6(d).</w:t>
      </w:r>
    </w:p>
    <w:p w14:paraId="40B22B69" w14:textId="707B0943" w:rsidR="001F6CD0" w:rsidRPr="00535973" w:rsidRDefault="00535973" w:rsidP="00CB532D">
      <w:pPr>
        <w:pStyle w:val="Heading2"/>
        <w:widowControl w:val="0"/>
        <w:ind w:left="576"/>
        <w:rPr>
          <w:color w:val="0070C0"/>
        </w:rPr>
      </w:pPr>
      <w:r w:rsidRPr="00535973">
        <w:rPr>
          <w:i/>
          <w:iCs/>
          <w:color w:val="0070C0"/>
          <w:strike w:val="true"/>
        </w:rPr>
        <w:t>Note: “Account Holder” means the beneficial owner of an IRA, HSA, or the Responsible Individual in a Coverdell ESA that is a Member of the Company.</w:t>
      </w:r>
      <w:r w:rsidRPr="00535973">
        <w:rPr>
          <w:color w:val="0070C0"/>
          <w:strike w:val="true"/>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Pr>
          <w:b w:val="0"/>
          <w:bCs w:val="0"/>
          <w:color w:val="0070C0"/>
          <w:sz w:val="22"/>
          <w:szCs w:val="22"/>
        </w:rPr>
        <w:t xml:space="preserve">Units held by </w:t>
      </w:r>
      <w:r>
        <w:rPr>
          <w:b w:val="0"/>
          <w:bCs w:val="0"/>
          <w:color w:val="0070C0"/>
          <w:sz w:val="22"/>
          <w:szCs w:val="22"/>
          <w:strike w:val="true"/>
        </w:rPr>
        <w:t xml:space="preserve">an entity (like a business or trust)</w:t>
      </w:r>
      <w:r>
        <w:rPr>
          <w:b w:val="0"/>
          <w:bCs w:val="0"/>
          <w:sz w:val="22"/>
          <w:szCs w:val="22"/>
          <w:color w:val="008000"/>
        </w:rPr>
        <w:t xml:space="preserve"> Browning Family Revocable Trust</w:t>
      </w:r>
      <w:r>
        <w:rPr>
          <w:b w:val="0"/>
          <w:bCs w:val="0"/>
          <w:color w:val="0070C0"/>
          <w:sz w:val="22"/>
          <w:szCs w:val="22"/>
        </w:rPr>
        <w:t xml:space="preserve"> must be voted by </w:t>
      </w:r>
      <w:r>
        <w:rPr>
          <w:b w:val="0"/>
          <w:bCs w:val="0"/>
          <w:color w:val="0070C0"/>
          <w:sz w:val="22"/>
          <w:szCs w:val="22"/>
          <w:strike w:val="true"/>
        </w:rPr>
        <w:t xml:space="preserve">the person the entity designates in writing</w:t>
      </w:r>
      <w:r>
        <w:rPr>
          <w:b w:val="0"/>
          <w:bCs w:val="0"/>
          <w:sz w:val="22"/>
          <w:szCs w:val="22"/>
          <w:color w:val="008000"/>
        </w:rPr>
        <w:t xml:space="preserve"> its co-trustees, currently Wesley Dale Browning and Jeanette Wilson Hollinger, unless the Trust documents or Company records designate a different authorized trustee or representative</w:t>
      </w:r>
      <w:r>
        <w:rPr>
          <w:b w:val="0"/>
          <w:bCs w:val="0"/>
          <w:color w:val="0070C0"/>
          <w:sz w:val="22"/>
          <w:szCs w:val="22"/>
        </w:rPr>
        <w:t xml:space="preserve">.</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Pr>
          <w:b/>
          <w:u w:val="single"/>
        </w:rPr>
        <w:t xml:space="preserve">Manager(s) – Number and Tenure.</w:t>
      </w:r>
      <w:r>
        <w:t xml:space="preserve"> </w:t>
      </w:r>
      <w:r>
        <w:rPr>
          <w:color w:val="0070C0"/>
          <w:strike w:val="true"/>
        </w:rPr>
        <w:t xml:space="preserve">The Company will start with one Manager, Jessica Santacruz, as named in the Articles of Organization. She 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Section 5.2(b)). A Manager doesn’t have to be a Member or own any Units.)</w:t>
      </w:r>
      <w:r>
        <w:rPr>
          <w:color w:val="008000"/>
        </w:rPr>
        <w:t xml:space="preserve"> The Company will have one or more Manager(s). The current Manager(s) are Wesley Dale Browning, Jeanette Wilson Hollinger, and Investment Services LLC. Each Manager will serve until replaced, resigns, or is removed. The number of Manager(s) may be increased or decreased by the sole Member, Browning Family Revocable Trust, acting through its co-trustees or other authorized trustee authority. A Manager does not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 xml:space="preserve">Unless otherwise agreed to by the approval of Members holding the required percentage of Membership Units for “Major Decisions” (as defined in Section 5.2(b) of this Operating </w:t>
      </w:r>
      <w:r w:rsidRPr="0096633B">
        <w:rPr>
          <w:color w:val="auto"/>
          <w:sz w:val="22"/>
          <w:szCs w:val="22"/>
          <w:strike w:val="true"/>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It is expressly understood and agreed by all parties in this Operating Agreement that the following individuals (who may be commonly referred to as “account holders”), Wesley D.</w:t>
      </w:r>
      <w:r w:rsidR="00B74282" w:rsidRPr="0096633B">
        <w:rPr>
          <w:sz w:val="22"/>
          <w:szCs w:val="22"/>
          <w:strike w:val="true"/>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t xml:space="preserve">Borrowing </w:t>
      </w:r>
      <w:r>
        <w:rPr>
          <w:strike w:val="true"/>
        </w:rPr>
        <w:t xml:space="preserve">on a non recourse basis </w:t>
      </w:r>
      <w:r>
        <w:t xml:space="preserve">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strike w:val="true"/>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Pr>
          <w:strike w:val="true"/>
        </w:rPr>
        <w:t xml:space="preserve">Company as Pass-Through Entity.</w:t>
      </w:r>
      <w:r>
        <w:rPr>
          <w:color w:val="008000"/>
        </w:rPr>
        <w:t xml:space="preserve"> Company Tax Classification.</w:t>
      </w:r>
      <w:r>
        <w:t xml:space="preserve"> The Company will be treated as </w:t>
      </w:r>
      <w:r>
        <w:rPr>
          <w:strike w:val="true"/>
        </w:rPr>
        <w:t xml:space="preserve">a pass-through entity for federal tax purposes—either as a disregarded entity (if it has one Member) or a partnership (if it has multiple Members)</w:t>
      </w:r>
      <w:r>
        <w:rPr>
          <w:color w:val="008000"/>
        </w:rPr>
        <w:t xml:space="preserve">an S corporation after a valid S election</w:t>
      </w:r>
      <w:r>
        <w:t xml:space="preserve">. </w:t>
      </w:r>
      <w:r>
        <w:rPr>
          <w:strike w:val="true"/>
        </w:rPr>
        <w:t xml:space="preserve">The Manager(s) must not take any action to change this classification.</w:t>
      </w:r>
      <w:r>
        <w:rPr>
          <w:color w:val="008000"/>
        </w:rPr>
        <w:t xml:space="preserve">The Manager(s)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t>Unrelated Business Taxable Income and Unrelated Debt Financed Income</w:t>
      </w:r>
      <w:r w:rsidRPr="00DA1C54">
        <w:rPr>
          <w:b/>
          <w:bCs w:val="0"/>
          <w:strike w:val="true"/>
        </w:rPr>
        <w:t>.</w:t>
      </w:r>
      <w:r w:rsidR="00BE1A74" w:rsidRPr="00DA1C54">
        <w:rPr>
          <w:b/>
          <w:bCs w:val="0"/>
          <w:strike w:val="true"/>
        </w:rPr>
        <w:t xml:space="preserve"> </w:t>
      </w:r>
      <w:r w:rsidR="00B40C28" w:rsidRPr="00B40C28">
        <w:rPr>
          <w:b/>
          <w:bCs w:val="0"/>
          <w:color w:val="0070C0"/>
          <w:strike w:val="true"/>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strike w:val="true"/>
        </w:rPr>
        <w:t>directly</w:t>
      </w:r>
      <w:proofErr w:type="gramEnd"/>
      <w:r w:rsidR="00B40C28" w:rsidRPr="00B40C28">
        <w:rPr>
          <w:b/>
          <w:bCs w:val="0"/>
          <w:color w:val="0070C0"/>
          <w:strike w:val="true"/>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lastRenderedPageBreak/>
        <w:t>Annual Valuations</w:t>
      </w:r>
      <w:r w:rsidRPr="00184709">
        <w:rPr>
          <w:strike w:val="true"/>
        </w:rPr>
        <w:t xml:space="preserve">.  </w:t>
      </w:r>
      <w:r w:rsidR="005913DB" w:rsidRPr="005913DB">
        <w:rPr>
          <w:b/>
          <w:bCs w:val="0"/>
          <w:color w:val="0070C0"/>
          <w:strike w:val="true"/>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Borrowing Money.</w:t>
      </w:r>
      <w:r w:rsidRPr="00822F49">
        <w:rPr>
          <w:b/>
          <w:bCs w:val="0"/>
          <w:strike w:val="true"/>
        </w:rPr>
        <w:t xml:space="preserve">  </w:t>
      </w:r>
      <w:r w:rsidR="001F575A" w:rsidRPr="001F575A">
        <w:rPr>
          <w:b/>
          <w:bCs w:val="0"/>
          <w:color w:val="0070C0"/>
          <w:strike w:val="true"/>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spacing w:after="0"/>
      </w:pPr>
      <w:r>
        <w:rPr>
          <w:color w:val="008000"/>
        </w:rPr>
        <w:t xml:space="preserve">THE UNDERSIGNED, being the sole Member and all Manager(s) of the Company, hereby evidence their adoption and ratification of this Amended and Restated Operating Agreement for and on behalf of themselves and the Company, effective ____________, 2026.</w:t>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SOLE MEMBER:</w:t>
      </w:r>
    </w:p>
    <w:p>
      <w:pPr>
        <w:pStyle w:val="Heading1"/>
        <w:rPr>
          <w:color w:val="4F81BD" w:themeColor="accent1"/>
        </w:rPr>
        <w:spacing w:after="0"/>
      </w:pPr>
      <w:r>
        <w:rPr>
          <w:color w:val="008000"/>
        </w:rPr>
        <w:t xml:space="preserve">Browning Family Revocable Trust</w:t>
      </w:r>
    </w:p>
    <w:p>
      <w:pPr>
        <w:pStyle w:val="Heading1"/>
        <w:rPr>
          <w:color w:val="4F81BD" w:themeColor="accent1"/>
        </w:rPr>
        <w:spacing w:after="0"/>
      </w:pPr>
      <w:r>
        <w:rPr>
          <w:color w:val="008000"/>
        </w:rPr>
        <w:t xml:space="preserve">By: ____________________________________</w:t>
      </w:r>
    </w:p>
    <w:p>
      <w:pPr>
        <w:pStyle w:val="Heading1"/>
        <w:rPr>
          <w:color w:val="4F81BD" w:themeColor="accent1"/>
        </w:rPr>
        <w:spacing w:after="0"/>
      </w:pPr>
      <w:r>
        <w:rPr>
          <w:color w:val="008000"/>
        </w:rPr>
        <w:t xml:space="preserve">Wesley Dale Browning, Co-Trustee</w:t>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By: ____________________________________</w:t>
      </w:r>
    </w:p>
    <w:p>
      <w:pPr>
        <w:pStyle w:val="Heading1"/>
        <w:rPr>
          <w:color w:val="4F81BD" w:themeColor="accent1"/>
        </w:rPr>
        <w:spacing w:after="0"/>
      </w:pPr>
      <w:r>
        <w:rPr>
          <w:color w:val="008000"/>
        </w:rPr>
        <w:t xml:space="preserve">Jeanette Wilson Hollinger, Co-Trustee</w:t>
      </w:r>
    </w:p>
    <w:p>
      <w:pPr>
        <w:pStyle w:val="Heading1"/>
        <w:rPr>
          <w:color w:val="4F81BD" w:themeColor="accent1"/>
        </w:rPr>
        <w:pageBreakBefore/>
        <w:spacing w:after="0"/>
      </w:pPr>
      <w:r>
        <w:rPr>
          <w:color w:val="008000"/>
        </w:rPr>
        <w:t xml:space="preserve">MANAGER(S):</w:t>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Wesley Dale Browning, Manager</w:t>
      </w:r>
    </w:p>
    <w:p>
      <w:pPr>
        <w:pStyle w:val="Heading1"/>
        <w:rPr>
          <w:color w:val="4F81BD" w:themeColor="accent1"/>
        </w:rPr>
        <w:spacing w:after="0"/>
      </w:pPr>
      <w:r>
        <w:rPr>
          <w:color w:val="008000"/>
        </w:rPr>
        <w:t xml:space="preserve">By: ____________________________________</w:t>
      </w:r>
    </w:p>
    <w:p>
      <w:pPr>
        <w:pStyle w:val="Heading1"/>
        <w:rPr>
          <w:color w:val="4F81BD" w:themeColor="accent1"/>
        </w:rPr>
        <w:spacing w:after="0"/>
      </w:pPr>
      <w:r>
        <w:rPr>
          <w:color w:val="008000"/>
        </w:rPr>
        <w:t xml:space="preserve">Wesley Dale Browning</w:t>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Jeanette Wilson Hollinger, Manager</w:t>
      </w:r>
    </w:p>
    <w:p>
      <w:pPr>
        <w:pStyle w:val="Heading1"/>
        <w:rPr>
          <w:color w:val="4F81BD" w:themeColor="accent1"/>
        </w:rPr>
        <w:spacing w:after="0"/>
      </w:pPr>
      <w:r>
        <w:rPr>
          <w:color w:val="008000"/>
        </w:rPr>
        <w:t xml:space="preserve">By: ____________________________________</w:t>
      </w:r>
    </w:p>
    <w:p>
      <w:pPr>
        <w:pStyle w:val="Heading1"/>
        <w:rPr>
          <w:color w:val="4F81BD" w:themeColor="accent1"/>
        </w:rPr>
        <w:spacing w:after="0"/>
      </w:pPr>
      <w:r>
        <w:rPr>
          <w:color w:val="008000"/>
        </w:rPr>
        <w:t xml:space="preserve">Jeanette Wilson Hollinger</w:t>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Investment Services LLC, Manager</w:t>
      </w:r>
    </w:p>
    <w:p>
      <w:pPr>
        <w:pStyle w:val="Heading1"/>
        <w:rPr>
          <w:color w:val="4F81BD" w:themeColor="accent1"/>
        </w:rPr>
        <w:spacing w:after="0"/>
      </w:pPr>
      <w:r>
        <w:rPr>
          <w:color w:val="008000"/>
        </w:rPr>
        <w:t xml:space="preserve">By: ____________________________________</w:t>
      </w:r>
    </w:p>
    <w:p>
      <w:pPr>
        <w:pStyle w:val="Heading1"/>
        <w:rPr>
          <w:color w:val="4F81BD" w:themeColor="accent1"/>
        </w:rPr>
        <w:spacing w:after="0"/>
      </w:pPr>
      <w:r>
        <w:rPr>
          <w:color w:val="008000"/>
        </w:rPr>
        <w:t xml:space="preserve">Name: Wesley Dale Browning</w:t>
      </w:r>
    </w:p>
    <w:p>
      <w:pPr>
        <w:pStyle w:val="Heading1"/>
        <w:rPr>
          <w:color w:val="4F81BD" w:themeColor="accent1"/>
        </w:rPr>
        <w:spacing w:after="0"/>
      </w:pPr>
      <w:r>
        <w:rPr>
          <w:color w:val="008000"/>
        </w:rPr>
        <w:t xml:space="preserve">Title: Authorized Representative</w:t>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008000"/>
        </w:rPr>
        <w:t xml:space="preserve">Member</w:t>
      </w:r>
    </w:p>
    <w:p>
      <w:pPr>
        <w:pStyle w:val="Heading1"/>
        <w:keepNext w:val="0"/>
        <w:keepLines w:val="0"/>
        <w:widowControl w:val="0"/>
        <w:rPr>
          <w:color w:val="auto"/>
        </w:rPr>
      </w:pPr>
      <w:r>
        <w:rPr>
          <w:color w:val="008000"/>
        </w:rPr>
        <w:t xml:space="preserve">Browning Family Revocable Trust</w:t>
      </w:r>
    </w:p>
    <w:p>
      <w:pPr>
        <w:pStyle w:val="Heading1"/>
        <w:keepNext w:val="0"/>
        <w:keepLines w:val="0"/>
        <w:widowControl w:val="0"/>
        <w:rPr>
          <w:color w:val="auto"/>
        </w:rPr>
      </w:pPr>
      <w:r>
        <w:rPr>
          <w:color w:val="008000"/>
        </w:rPr>
        <w:t xml:space="preserve">c/o Wesley Dale Browning and Jeanette Wilson Hollinger, Co-Trustees</w:t>
      </w:r>
    </w:p>
    <w:p>
      <w:pPr>
        <w:pStyle w:val="Heading1"/>
        <w:keepNext w:val="0"/>
        <w:keepLines w:val="0"/>
        <w:widowControl w:val="0"/>
        <w:rPr>
          <w:color w:val="auto"/>
        </w:rPr>
      </w:pPr>
      <w:r>
        <w:rPr>
          <w:color w:val="008000"/>
        </w:rPr>
        <w:t xml:space="preserve">2156 Haig Point Way</w:t>
      </w:r>
    </w:p>
    <w:p>
      <w:pPr>
        <w:pStyle w:val="Heading1"/>
        <w:keepNext w:val="0"/>
        <w:keepLines w:val="0"/>
        <w:widowControl w:val="0"/>
        <w:rPr>
          <w:color w:val="auto"/>
        </w:rPr>
      </w:pPr>
      <w:r>
        <w:rPr>
          <w:color w:val="008000"/>
        </w:rPr>
        <w:t xml:space="preserve">Raleigh, NC 27604</w:t>
      </w:r>
    </w:p>
    <w:p>
      <w:pPr>
        <w:pStyle w:val="Heading1"/>
        <w:keepNext w:val="0"/>
        <w:keepLines w:val="0"/>
        <w:widowControl w:val="0"/>
        <w:rPr>
          <w:color w:val="auto"/>
        </w:rPr>
      </w:pPr>
      <w:r>
        <w:rPr>
          <w:color w:val="008000"/>
        </w:rPr>
        <w:t xml:space="preserve"/>
      </w:r>
    </w:p>
    <w:p>
      <w:pPr>
        <w:pStyle w:val="Heading1"/>
        <w:keepNext w:val="0"/>
        <w:keepLines w:val="0"/>
        <w:widowControl w:val="0"/>
        <w:rPr>
          <w:color w:val="auto"/>
        </w:rPr>
      </w:pPr>
      <w:r>
        <w:rPr>
          <w:color w:val="008000"/>
        </w:rPr>
        <w:t xml:space="preserve">Membership Units / Percentage Interest</w:t>
      </w:r>
    </w:p>
    <w:p>
      <w:pPr>
        <w:pStyle w:val="Heading1"/>
        <w:keepNext w:val="0"/>
        <w:keepLines w:val="0"/>
        <w:widowControl w:val="0"/>
        <w:rPr>
          <w:color w:val="auto"/>
        </w:rPr>
      </w:pPr>
      <w:r>
        <w:rPr>
          <w:color w:val="008000"/>
        </w:rPr>
        <w:t xml:space="preserve">100 Membership Units / 100%</w:t>
      </w:r>
    </w:p>
    <w:p>
      <w:pPr>
        <w:pStyle w:val="Heading1"/>
        <w:keepNext w:val="0"/>
        <w:keepLines w:val="0"/>
        <w:widowControl w:val="0"/>
        <w:rPr>
          <w:color w:val="auto"/>
        </w:rPr>
      </w:pPr>
      <w:r>
        <w:rPr>
          <w:color w:val="008000"/>
        </w:rPr>
        <w:t xml:space="preserve"/>
      </w:r>
    </w:p>
    <w:p>
      <w:pPr>
        <w:pStyle w:val="Heading1"/>
        <w:keepNext w:val="0"/>
        <w:keepLines w:val="0"/>
        <w:widowControl w:val="0"/>
        <w:rPr>
          <w:color w:val="auto"/>
        </w:rPr>
      </w:pPr>
      <w:r>
        <w:rPr>
          <w:color w:val="008000"/>
        </w:rPr>
        <w:t xml:space="preserve">Voting Authority</w:t>
      </w:r>
    </w:p>
    <w:p>
      <w:pPr>
        <w:pStyle w:val="Heading1"/>
        <w:keepNext w:val="0"/>
        <w:keepLines w:val="0"/>
        <w:widowControl w:val="0"/>
        <w:rPr>
          <w:color w:val="auto"/>
        </w:rPr>
      </w:pPr>
      <w:r>
        <w:rPr>
          <w:color w:val="008000"/>
        </w:rPr>
        <w:t xml:space="preserve">Wesley Dale Browning and Jeanette Wilson Hollinger, as co-trustees of Browning Family Revocable Trust, exercise the voting authority of the sole Member unless the Trust documents or Company records designate a different authorized trustee or representative.</w:t>
      </w:r>
    </w:p>
    <w:p>
      <w:pPr>
        <w:pStyle w:val="Heading1"/>
        <w:keepNext w:val="0"/>
        <w:keepLines w:val="0"/>
        <w:widowControl w:val="0"/>
        <w:rPr>
          <w:color w:val="auto"/>
        </w:rPr>
      </w:pPr>
      <w:r>
        <w:rPr>
          <w:color w:val="008000"/>
        </w:rPr>
        <w:t xml:space="preserve"/>
      </w:r>
    </w:p>
    <w:p>
      <w:pPr>
        <w:pStyle w:val="Heading1"/>
        <w:keepNext w:val="0"/>
        <w:keepLines w:val="0"/>
        <w:widowControl w:val="0"/>
        <w:rPr>
          <w:color w:val="auto"/>
        </w:rPr>
      </w:pPr>
      <w:r>
        <w:rPr>
          <w:color w:val="008000"/>
        </w:rPr>
        <w:t xml:space="preserve">Current Manager(s)</w:t>
      </w:r>
    </w:p>
    <w:p>
      <w:pPr>
        <w:pStyle w:val="Heading1"/>
        <w:keepNext w:val="0"/>
        <w:keepLines w:val="0"/>
        <w:widowControl w:val="0"/>
        <w:rPr>
          <w:color w:val="auto"/>
        </w:rPr>
      </w:pPr>
      <w:r>
        <w:rPr>
          <w:color w:val="008000"/>
        </w:rPr>
        <w:t xml:space="preserve">Wesley Dale Browning</w:t>
      </w:r>
    </w:p>
    <w:p>
      <w:pPr>
        <w:pStyle w:val="Heading1"/>
        <w:keepNext w:val="0"/>
        <w:keepLines w:val="0"/>
        <w:widowControl w:val="0"/>
        <w:rPr>
          <w:color w:val="auto"/>
        </w:rPr>
      </w:pPr>
      <w:r>
        <w:rPr>
          <w:color w:val="008000"/>
        </w:rPr>
        <w:t xml:space="preserve">Jeanette Wilson Hollinger</w:t>
      </w:r>
    </w:p>
    <w:p>
      <w:pPr>
        <w:pStyle w:val="Heading1"/>
        <w:keepNext w:val="0"/>
        <w:keepLines w:val="0"/>
        <w:widowControl w:val="0"/>
        <w:rPr>
          <w:color w:val="auto"/>
        </w:rPr>
      </w:pPr>
      <w:r>
        <w:rPr>
          <w:color w:val="008000"/>
        </w:rPr>
        <w:t xml:space="preserve">Investment Services LLC</w:t>
      </w:r>
    </w:p>
    <w:p>
      <w:pPr>
        <w:pStyle w:val="Heading1"/>
        <w:keepNext w:val="0"/>
        <w:keepLines w:val="0"/>
        <w:widowControl w:val="0"/>
        <w:rPr>
          <w:color w:val="auto"/>
        </w:rPr>
      </w:pPr>
      <w:r>
        <w:rPr>
          <w:color w:val="008000"/>
        </w:rPr>
        <w:t xml:space="preserve"/>
      </w:r>
    </w:p>
    <w:p>
      <w:pPr>
        <w:pStyle w:val="Heading1"/>
        <w:keepNext w:val="0"/>
        <w:keepLines w:val="0"/>
        <w:widowControl w:val="0"/>
        <w:rPr>
          <w:color w:val="auto"/>
        </w:rPr>
      </w:pPr>
      <w:r>
        <w:rPr>
          <w:color w:val="008000"/>
        </w:rPr>
        <w:t xml:space="preserve">Tax Classification</w:t>
      </w:r>
    </w:p>
    <w:p>
      <w:pPr>
        <w:pStyle w:val="Heading1"/>
        <w:keepNext w:val="0"/>
        <w:keepLines w:val="0"/>
        <w:widowControl w:val="0"/>
        <w:rPr>
          <w:color w:val="auto"/>
        </w:rPr>
      </w:pPr>
      <w:r>
        <w:rPr>
          <w:color w:val="008000"/>
        </w:rPr>
        <w:t xml:space="preserve">The Company is intended to operate as an S corporation after a valid S election. Confirm final tax language with CPA or attorney review before final use.</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