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UPDATED CREDITWORTHINESS EVALUATION REPORT</w:t>
      </w:r>
    </w:p>
    <w:p>
      <w:r>
        <w:rPr>
          <w:b w:val="0"/>
          <w:i w:val="0"/>
        </w:rPr>
        <w:t>Document-Preparation Readiness Rerun for Ever Amarildo Cardoza Bolanos - 320 Rose Pl / Rose Place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Prepared by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Investment Services, LLC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Report date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June 9, 2026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Subject buyer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Ever Amarildo Cardoza Bolanos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Property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320 Rose Pl / Rose Place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Purpose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Conditional evidence-mode rerun from file-based CFD kickoff using the live project spreadsheet and buyer source folder.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Overall result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Ready for document preparation; closing execution subject to required affidavits, funds proof, final name spelling, and attorney/compliance review.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r>
              <w:rPr>
                <w:rFonts w:ascii="Aptos" w:hAnsi="Aptos"/>
                <w:b/>
                <w:sz w:val="19"/>
              </w:rPr>
              <w:t>Executive Recommendation</w:t>
              <w:br/>
              <w:t>Investment Services, LLC recommends that the file is ready for document preparation. Closing execution remains subject to required affidavits, funds proof, final legal-name spelling, and attorney/compliance review. Required affidavits expected to be signed/notarized at closing should be treated as closing deliverables, not as reasons to stop CFD from preparing the package. Maria Geraldine Sarmiento is treated as Buyer 2 and a required signing buyer because she is listed as Selling-Buyer2 in the project spreadsheet; only the Geraldine/Geraldina spelling conflict remains unresolved.</w:t>
            </w:r>
          </w:p>
        </w:tc>
      </w:tr>
    </w:tbl>
    <w:p/>
    <w:p>
      <w:pPr>
        <w:pStyle w:val="Heading1"/>
      </w:pPr>
      <w:r>
        <w:t>What Changed In This Rerun</w:t>
      </w:r>
    </w:p>
    <w:p>
      <w:pPr>
        <w:pStyle w:val="ListBullet"/>
      </w:pPr>
      <w:r>
        <w:rPr>
          <w:b w:val="0"/>
          <w:i w:val="0"/>
        </w:rPr>
        <w:t>This version separates credit/evaluation status from closing-package readiness and uses the readiness status `Ready for document preparation`.</w:t>
      </w:r>
    </w:p>
    <w:p>
      <w:pPr>
        <w:pStyle w:val="ListBullet"/>
      </w:pPr>
      <w:r>
        <w:rPr>
          <w:b w:val="0"/>
          <w:i w:val="0"/>
        </w:rPr>
        <w:t>Maria Geraldine Sarmiento is therefore treated as Buyer 2 and a required signing buyer; the remaining open issue is only the spelling conflict with the passport/source file spelling Maria Geraldina Sarmiento.</w:t>
      </w:r>
    </w:p>
    <w:p>
      <w:pPr>
        <w:pStyle w:val="ListBullet"/>
      </w:pPr>
      <w:r>
        <w:rPr>
          <w:b w:val="0"/>
          <w:i w:val="0"/>
        </w:rPr>
        <w:t>This version keeps the preferred v9 report format, including the Executive Recommendation callout near the front.</w:t>
      </w:r>
    </w:p>
    <w:p>
      <w:pPr>
        <w:pStyle w:val="ListBullet"/>
      </w:pPr>
      <w:r>
        <w:rPr>
          <w:b w:val="0"/>
          <w:i w:val="0"/>
        </w:rPr>
        <w:t>The evaluation remains in evidence mode: prompt-provided transaction facts were not used as source facts.</w:t>
      </w:r>
    </w:p>
    <w:p>
      <w:pPr>
        <w:pStyle w:val="ListBullet"/>
      </w:pPr>
      <w:r>
        <w:rPr>
          <w:b w:val="0"/>
          <w:i w:val="0"/>
        </w:rPr>
        <w:t>A full DOCX report was created and copied to the buyer Teams Credit Worthiness folder as v13.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Buyer 1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Ever Amarildo Cardoza Bolanos - signing buyer per Selling-Buyer1.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Buyer 2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Maria Geraldine Sarmiento - signing buyer per Selling-Buyer2. Confirm final spelling because passport/source file indicates Maria Geraldina Sarmiento.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Property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320 Rose Pl, Wendell, NC 27591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Seller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Sell Your Home, LLC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Purchase price / loan amount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$346,500 purchase price; $325,710 loan amount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Earnest money / down payment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$6,000 earnest money; $20,790 total down payment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Monthly payment / dates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$2,504.43 monthly payment; LoanStart1 2026-07-01; LoanEnd1 2056-06-01</w:t>
            </w:r>
          </w:p>
        </w:tc>
      </w:tr>
    </w:tbl>
    <w:p>
      <w:pPr>
        <w:pStyle w:val="Heading1"/>
      </w:pPr>
      <w:r>
        <w:t>Screening Strengths</w:t>
      </w:r>
    </w:p>
    <w:p>
      <w:pPr>
        <w:pStyle w:val="ListBullet"/>
      </w:pPr>
      <w:r>
        <w:rPr>
          <w:b w:val="0"/>
          <w:i w:val="0"/>
        </w:rPr>
        <w:t>Zillow credit report shows a 706 VantageScore 4.0 score.</w:t>
      </w:r>
    </w:p>
    <w:p>
      <w:pPr>
        <w:pStyle w:val="ListBullet"/>
      </w:pPr>
      <w:r>
        <w:rPr>
          <w:b w:val="0"/>
          <w:i w:val="0"/>
        </w:rPr>
        <w:t>Credit report shows 100% on-time payments, no collections, no delinquent or derogatory account, and no bankruptcies found.</w:t>
      </w:r>
    </w:p>
    <w:p>
      <w:pPr>
        <w:pStyle w:val="ListBullet"/>
      </w:pPr>
      <w:r>
        <w:rPr>
          <w:b w:val="0"/>
          <w:i w:val="0"/>
        </w:rPr>
        <w:t>Background check reports no housing court records and no criminal records.</w:t>
      </w:r>
    </w:p>
    <w:p>
      <w:pPr>
        <w:pStyle w:val="ListBullet"/>
      </w:pPr>
      <w:r>
        <w:rPr>
          <w:b w:val="0"/>
          <w:i w:val="0"/>
        </w:rPr>
        <w:t>Buy Your Home, LLC rent verification supports timely rent payments during the tenancy; because Buy Your Home, LLC is a related company/current landlord, this is related-company verification rather than independent third-party landlord verification.</w:t>
      </w:r>
    </w:p>
    <w:p>
      <w:pPr>
        <w:pStyle w:val="ListBullet"/>
      </w:pPr>
      <w:r>
        <w:rPr>
          <w:b w:val="0"/>
          <w:i w:val="0"/>
        </w:rPr>
        <w:t>Secretary of State annual report supports Ever A. Cardoza Bolanos as registered agent and managing member of Matthew Flooring LLC.</w:t>
      </w:r>
    </w:p>
    <w:p>
      <w:pPr>
        <w:pStyle w:val="ListBullet"/>
      </w:pPr>
      <w:r>
        <w:rPr>
          <w:b w:val="0"/>
          <w:i w:val="0"/>
        </w:rPr>
        <w:t>Paid receipts support gross customer receipts near the stated income level.</w:t>
      </w:r>
    </w:p>
    <w:p>
      <w:pPr>
        <w:pStyle w:val="Heading1"/>
      </w:pPr>
      <w:r>
        <w:t>Ability-To-Repay Findings</w:t>
      </w:r>
    </w:p>
    <w:p>
      <w:pPr>
        <w:pStyle w:val="Heading2"/>
      </w:pPr>
      <w:r>
        <w:t>Income And Business Cash Flow</w:t>
      </w:r>
    </w:p>
    <w:p>
      <w:r>
        <w:rPr>
          <w:b w:val="0"/>
          <w:i w:val="0"/>
        </w:rPr>
        <w:t>Applicant details state self-employment income of $9,500/month. The file supports active business activity and substantial gross receipts, but current evidence still does not include tax returns, a CPA letter, profit-and-loss records, payroll records, or a complete owner-draw analysis. Gross receipts and gross business deposits should therefore be treated as support for business activity, not as fully verified borrower-level net income.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Supporting Income And Reserve Context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Supporting Income And Reserve Context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Business role verification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2026 Secretary of State annual report shows Ever A. Cardoza Bolanos as registered agent and managing member of Matthew Flooring LLC.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Business bank activity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Prior project-room analysis of 16 unique Matthew Flooring LLC statements showed total deposits/credits of $434,462.90 and average deposits/credits of $27,153.93/month, but withdrawals were similarly high.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2026 business activity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January-May 2026 average deposits/credits were $24,631.93/month and average withdrawals/debits were $24,103.11/month; May 31, 2026 ending balance was $5,058.11.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Paid receipt package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Twelve receipts marked paid total $112,922.25, averaging $9,410.19/month over twelve dated receipts.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Open receivables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Two June 2026 receipts marked due/balance due total $14,000; treat as open receivables, not paid income, unless collected and verified.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Cash reserves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Signed cash-reserves PDF states $24,000 counted cash, $14,000 accounts receivable, and $10,000 access to El Salvador funds, but the notary block is blank.</w:t>
            </w:r>
          </w:p>
        </w:tc>
      </w:tr>
    </w:tbl>
    <w:p>
      <w:pPr>
        <w:pStyle w:val="Heading2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Credit Report Debt Summary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Credit Report Debt Summary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Estimated monthly debt payments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$2,162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Total debt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$86,790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Open auto-loan balances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$16,536; $19,112; $22,864; $28,278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Credit-card balance shown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$0 on Capital One account</w:t>
            </w:r>
          </w:p>
        </w:tc>
      </w:tr>
    </w:tbl>
    <w:p>
      <w:pPr>
        <w:pStyle w:val="Heading2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Payment-Shock And Ratio Test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Payment-Shock And Ratio Test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Housing ratio using stated income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$2,504.43 / $9,500 = 26.4%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Back-end ratio using stated income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($2,504.43 + $2,162) / $9,500 = 49.1%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Conditional interpretation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The back-end ratio remains high. Conditional reconsideration is supportable only because of compensating factors and only if final affidavit, funds-to-close, and compliance conditions are satisfied.</w:t>
            </w:r>
          </w:p>
        </w:tc>
      </w:tr>
    </w:tbl>
    <w:p>
      <w:pPr>
        <w:pStyle w:val="Heading2"/>
      </w:pPr>
      <w:r>
        <w:t>Cash To Close And Reserves</w:t>
      </w:r>
    </w:p>
    <w:p>
      <w:r>
        <w:rPr>
          <w:b w:val="0"/>
          <w:i w:val="0"/>
        </w:rPr>
        <w:t>The spreadsheet shows $6,000 earnest money and $20,790 total down payment. The signed cash-reserves PDF states that $24,000 cash was counted, $14,000 of accounts receivable were seen, and Ever stated he had access to $10,000 in El Salvador. The $24,000 counted cash appears sufficient for the down payment before closing costs if accepted, but it does not by itself prove earnest money, all closing costs, or post-closing reserves. The affidavit must be finalized/notarized or replaced with closing-approved proof if relied on.</w:t>
      </w:r>
    </w:p>
    <w:p>
      <w:pPr>
        <w:pStyle w:val="Heading1"/>
      </w:pPr>
      <w:r>
        <w:t>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r>
              <w:rPr>
                <w:rFonts w:ascii="Aptos" w:hAnsi="Aptos"/>
                <w:b/>
                <w:sz w:val="19"/>
              </w:rPr>
              <w:t>Document-Preparation Readiness</w:t>
              <w:br/>
              <w:t>The file is ready for document preparation. Closing execution remains subject to required affidavits, funds proof, final Maria legal-name spelling, and attorney/compliance review. Affidavits expected to be signed/notarized at closing are closing deliverables and do not stop CFD from preparing documents.</w:t>
            </w:r>
          </w:p>
        </w:tc>
      </w:tr>
    </w:tbl>
    <w:p>
      <w:pPr>
        <w:pStyle w:val="Heading1"/>
      </w:pPr>
      <w:r>
        <w:t>Closing Deliverables And Items Required Before Final Execution</w:t>
      </w:r>
    </w:p>
    <w:p>
      <w:pPr>
        <w:pStyle w:val="ListNumber"/>
      </w:pPr>
      <w:r>
        <w:rPr>
          <w:b w:val="0"/>
          <w:i w:val="0"/>
        </w:rPr>
        <w:t>Confirm final legal spelling for Maria. The project spreadsheet names Maria Geraldine Sarmiento, while passport/source naming indicates Maria Geraldina Sarmiento. Her role is not open: she is a signing buyer because she is listed as Selling-Buyer2.</w:t>
      </w:r>
    </w:p>
    <w:p>
      <w:pPr>
        <w:pStyle w:val="ListNumber"/>
      </w:pPr>
      <w:r>
        <w:rPr>
          <w:b w:val="0"/>
          <w:i w:val="0"/>
        </w:rPr>
        <w:t>Include related-company rent-history affidavit as a closing deliverable if relied on; obtain signature/notary at or before closing.</w:t>
      </w:r>
    </w:p>
    <w:p>
      <w:pPr>
        <w:pStyle w:val="ListNumber"/>
      </w:pPr>
      <w:r>
        <w:rPr>
          <w:b w:val="0"/>
          <w:i w:val="0"/>
        </w:rPr>
        <w:t>Include cash reserves and receivables observation affidavit as a closing deliverable, or substitute closing-approved funds-to-close proof.</w:t>
      </w:r>
    </w:p>
    <w:p>
      <w:pPr>
        <w:pStyle w:val="ListNumber"/>
      </w:pPr>
      <w:r>
        <w:rPr>
          <w:b w:val="0"/>
          <w:i w:val="0"/>
        </w:rPr>
        <w:t>Include receipt package review and acceptance affidavit as a closing deliverable if Sell Your Home relies on paid receipts in place of stronger tax/CPA income documentation.</w:t>
      </w:r>
    </w:p>
    <w:p>
      <w:pPr>
        <w:pStyle w:val="ListNumber"/>
      </w:pPr>
      <w:r>
        <w:rPr>
          <w:b w:val="0"/>
          <w:i w:val="0"/>
        </w:rPr>
        <w:t>Include business judgment approval direction affidavit as a closing deliverable if management proceeds despite nonstandard income support and a high back-end ratio.</w:t>
      </w:r>
    </w:p>
    <w:p>
      <w:pPr>
        <w:pStyle w:val="ListNumber"/>
      </w:pPr>
      <w:r>
        <w:rPr>
          <w:b w:val="0"/>
          <w:i w:val="0"/>
        </w:rPr>
        <w:t>Confirm funds to close, including earnest money, down payment, closing costs, and post-closing reserves.</w:t>
      </w:r>
    </w:p>
    <w:p>
      <w:pPr>
        <w:pStyle w:val="ListNumber"/>
      </w:pPr>
      <w:r>
        <w:rPr>
          <w:b w:val="0"/>
          <w:i w:val="0"/>
        </w:rPr>
        <w:t>Complete attorney review of North Carolina Contract for Deed and seller-financing compliance, including Regulation Z/Dodd-Frank and any adverse-action or conditional-approval notice issues.</w:t>
      </w:r>
    </w:p>
    <w:p>
      <w:pPr>
        <w:pStyle w:val="Heading1"/>
      </w:pPr>
      <w:r>
        <w:t>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Credit-Worthiness-Related Documents Requested From CFD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Credit-Worthiness-Related Documents Requested From CFD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Related-Company Rent Payment History Affidavit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Purpose: document tenant payment history with Buy Your Home, LLC and disclose related-company nature. Signer: Buy Your Home, LLC manager or authorized representative. CFD action: create/finalize if relied 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Cash Reserves and Receivables Observation Affidavit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Purpose: support funds-to-close/reserves through observed cash, receivables, and stated foreign funds. Signer: observing person/entity representative. CFD action: obtain notarized final or substitute proof.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Receipt Package Review and Acceptance Affidavit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Purpose: document seller/business acceptance of paid receipts as gross-receipt support. Signer: Sell Your Home, LLC authorized representative; authority/signature block to be confirmed. CFD action: create/finalize if relied 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Business Judgment Approval Direction Affidavit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Purpose: document decision to proceed despite nonstandard income proof and high back-end ratio. Signer: Sell Your Home, LLC authorized representative. CFD action: include only after authority and compliance review.</w:t>
            </w:r>
          </w:p>
        </w:tc>
      </w:tr>
    </w:tbl>
    <w:p>
      <w:pPr>
        <w:pStyle w:val="Heading1"/>
      </w:pPr>
      <w:r>
        <w:t>Legal And Compliance Items</w:t>
      </w:r>
    </w:p>
    <w:p>
      <w:pPr>
        <w:pStyle w:val="ListBullet"/>
      </w:pPr>
      <w:r>
        <w:rPr>
          <w:b w:val="0"/>
          <w:i w:val="0"/>
        </w:rPr>
        <w:t>This report is not legal advice and does not resolve North Carolina Contract for Deed compliance requirements.</w:t>
      </w:r>
    </w:p>
    <w:p>
      <w:pPr>
        <w:pStyle w:val="ListBullet"/>
      </w:pPr>
      <w:r>
        <w:rPr>
          <w:b w:val="0"/>
          <w:i w:val="0"/>
        </w:rPr>
        <w:t>Counsel should review seller-financing status, trust/seller authority, signature/notary blocks, recording requirements, and any federal or state consumer-credit obligations.</w:t>
      </w:r>
    </w:p>
    <w:p>
      <w:pPr>
        <w:pStyle w:val="ListBullet"/>
      </w:pPr>
      <w:r>
        <w:rPr>
          <w:b w:val="0"/>
          <w:i w:val="0"/>
        </w:rPr>
        <w:t>Counsel should decide whether adverse-action or conditional-approval notices are required if terms change or if the file remains conditional.</w:t>
      </w:r>
    </w:p>
    <w:p>
      <w:pPr>
        <w:pStyle w:val="Heading1"/>
      </w:pPr>
      <w:r>
        <w:t>Recommended Next Step</w:t>
      </w:r>
    </w:p>
    <w:p>
      <w:r>
        <w:rPr>
          <w:b w:val="0"/>
          <w:i w:val="0"/>
        </w:rPr>
        <w:t>Proceed with CFD package preparation. Do not use this report as final closing execution approval until the listed closing deliverables, funds proof, final legal-name spelling, and attorney/compliance review are complete. CFD should treat both spreadsheet buyers as signing buyers and use this report and the Credit Worthiness Handoff as the source for credit-worthiness-related closing-package document requests.</w:t>
      </w:r>
    </w:p>
    <w:p>
      <w:pPr>
        <w:pStyle w:val="Heading1"/>
      </w:pPr>
      <w: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Status Type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Current 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Credit / evaluation status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Supportable for continued Contract for Deed document preparation based on current evidence and compensating factors.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Closing-package readiness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Ready for document preparation.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Closing execution readiness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Not yet ready for closing execution; final execution is subject to required affidavits, funds proof, final name spelling, and attorney/compliance review.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Stop-document issue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No current issue appears serious enough to stop CFD from preparing documents, assuming CFD treats required affidavits as closing deliverables and counsel review remains pending.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A5A5A"/>
        <w:sz w:val="18"/>
      </w:rPr>
      <w:t>Investment Services, LLC | Creditworthiness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320 Rose Ever Amarildo Cardoza Bolanos - Creditworthiness Evaluation Report - Document Preparation Ready v13</dc:title>
  <dc:subject>Tenant-buyer payment-history exception creditworthiness report</dc:subject>
  <dc:creator>Investment Services, LLC</dc:creator>
  <cp:keywords/>
  <dc:description>Prepared by Investment Services, LLC for Sell Your Home review. Conditional approval exception analysis.</dc:description>
  <cp:lastModifiedBy>Investment Services, LLC</cp:lastModifiedBy>
  <cp:revision>1</cp:revision>
  <dcterms:created xsi:type="dcterms:W3CDTF">2013-12-23T23:15:00Z</dcterms:created>
  <dcterms:modified xsi:type="dcterms:W3CDTF">2013-12-23T23:15:00Z</dcterms:modified>
  <cp:category/>
</cp:coreProperties>
</file>